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BE14" w14:textId="72FA0984" w:rsidR="00072A96" w:rsidRPr="00072A96" w:rsidRDefault="00072A96" w:rsidP="00072A96">
      <w:pPr>
        <w:spacing w:line="253" w:lineRule="exact"/>
        <w:jc w:val="both"/>
        <w:textAlignment w:val="baseline"/>
        <w:rPr>
          <w:rFonts w:ascii="Verdana" w:eastAsia="Verdana" w:hAnsi="Verdana"/>
          <w:color w:val="000000"/>
          <w:spacing w:val="5"/>
          <w:sz w:val="19"/>
          <w:lang w:val="es-ES"/>
        </w:rPr>
      </w:pPr>
      <w:r>
        <w:rPr>
          <w:rFonts w:ascii="Verdana" w:eastAsia="Verdana" w:hAnsi="Verdana"/>
          <w:b/>
          <w:color w:val="000000"/>
          <w:spacing w:val="5"/>
          <w:sz w:val="19"/>
          <w:lang w:val="es-ES"/>
        </w:rPr>
        <w:t>NO</w:t>
      </w:r>
      <w:r w:rsidR="002517CC">
        <w:rPr>
          <w:rFonts w:ascii="Verdana" w:eastAsia="Verdana" w:hAnsi="Verdana"/>
          <w:b/>
          <w:color w:val="000000"/>
          <w:spacing w:val="5"/>
          <w:sz w:val="19"/>
          <w:lang w:val="es-ES"/>
        </w:rPr>
        <w:t>M</w:t>
      </w:r>
      <w:r>
        <w:rPr>
          <w:rFonts w:ascii="Verdana" w:eastAsia="Verdana" w:hAnsi="Verdana"/>
          <w:b/>
          <w:color w:val="000000"/>
          <w:spacing w:val="5"/>
          <w:sz w:val="19"/>
          <w:lang w:val="es-ES"/>
        </w:rPr>
        <w:t>BRE DEL PRODUCTO:</w:t>
      </w:r>
      <w:r w:rsidR="00AF1A0D" w:rsidRPr="00AF1A0D">
        <w:rPr>
          <w:rFonts w:ascii="Arial" w:eastAsia="Arial" w:hAnsi="Arial"/>
          <w:color w:val="000000"/>
          <w:lang w:val="es-ES"/>
        </w:rPr>
        <w:t xml:space="preserve"> </w:t>
      </w:r>
      <w:r w:rsidR="00AF1A0D" w:rsidRPr="00AF1A0D">
        <w:rPr>
          <w:rFonts w:ascii="Verdana" w:eastAsia="Verdana" w:hAnsi="Verdana"/>
          <w:b/>
          <w:i/>
          <w:color w:val="000000"/>
          <w:spacing w:val="5"/>
          <w:sz w:val="19"/>
          <w:lang w:val="es-ES"/>
        </w:rPr>
        <w:t xml:space="preserve">Levobupivacaína solución inyectable 50 mg/ 10 </w:t>
      </w:r>
      <w:proofErr w:type="spellStart"/>
      <w:r w:rsidR="00AF1A0D" w:rsidRPr="00AF1A0D">
        <w:rPr>
          <w:rFonts w:ascii="Verdana" w:eastAsia="Verdana" w:hAnsi="Verdana"/>
          <w:b/>
          <w:i/>
          <w:color w:val="000000"/>
          <w:spacing w:val="5"/>
          <w:sz w:val="19"/>
          <w:lang w:val="es-ES"/>
        </w:rPr>
        <w:t>mL</w:t>
      </w:r>
      <w:proofErr w:type="spellEnd"/>
      <w:r w:rsidR="00AF1A0D">
        <w:rPr>
          <w:rFonts w:ascii="Arial" w:eastAsia="Arial" w:hAnsi="Arial"/>
          <w:color w:val="000000"/>
          <w:lang w:val="es-ES"/>
        </w:rPr>
        <w:t xml:space="preserve">. </w:t>
      </w:r>
      <w:r w:rsidR="00AF1A0D" w:rsidRPr="00AF1A0D">
        <w:rPr>
          <w:rFonts w:ascii="Verdana" w:eastAsia="Verdana" w:hAnsi="Verdana"/>
          <w:color w:val="000000"/>
          <w:spacing w:val="5"/>
          <w:sz w:val="19"/>
          <w:lang w:val="es-ES"/>
        </w:rPr>
        <w:t>Solución inyectable</w:t>
      </w:r>
      <w:r w:rsidR="00AF1A0D">
        <w:rPr>
          <w:rFonts w:ascii="Verdana" w:eastAsia="Verdana" w:hAnsi="Verdana"/>
          <w:color w:val="000000"/>
          <w:spacing w:val="5"/>
          <w:sz w:val="19"/>
          <w:lang w:val="es-ES"/>
        </w:rPr>
        <w:t xml:space="preserve"> para infusión/perfusión</w:t>
      </w:r>
      <w:r>
        <w:rPr>
          <w:rFonts w:ascii="Verdana" w:eastAsia="Verdana" w:hAnsi="Verdana"/>
          <w:color w:val="000000"/>
          <w:spacing w:val="5"/>
          <w:sz w:val="19"/>
          <w:lang w:val="es-ES"/>
        </w:rPr>
        <w:t>. Uso</w:t>
      </w:r>
      <w:r w:rsidR="00AF1A0D" w:rsidRPr="00AF1A0D">
        <w:rPr>
          <w:rFonts w:ascii="Verdana" w:eastAsia="Verdana" w:hAnsi="Verdana"/>
          <w:color w:val="000000"/>
          <w:spacing w:val="5"/>
          <w:sz w:val="19"/>
          <w:lang w:val="es-ES"/>
        </w:rPr>
        <w:t xml:space="preserve"> epidural, intratecal, </w:t>
      </w:r>
      <w:proofErr w:type="spellStart"/>
      <w:r w:rsidR="00AF1A0D" w:rsidRPr="00AF1A0D">
        <w:rPr>
          <w:rFonts w:ascii="Verdana" w:eastAsia="Verdana" w:hAnsi="Verdana"/>
          <w:color w:val="000000"/>
          <w:spacing w:val="5"/>
          <w:sz w:val="19"/>
          <w:lang w:val="es-ES"/>
        </w:rPr>
        <w:t>perineural</w:t>
      </w:r>
      <w:proofErr w:type="spellEnd"/>
      <w:r w:rsidR="00AF1A0D" w:rsidRPr="00AF1A0D">
        <w:rPr>
          <w:rFonts w:ascii="Verdana" w:eastAsia="Verdana" w:hAnsi="Verdana"/>
          <w:color w:val="000000"/>
          <w:spacing w:val="5"/>
          <w:sz w:val="19"/>
          <w:lang w:val="es-ES"/>
        </w:rPr>
        <w:t xml:space="preserve"> (bloqueo nervio periférico) y para infiltración (incluyendo uso </w:t>
      </w:r>
      <w:proofErr w:type="spellStart"/>
      <w:r w:rsidR="00AF1A0D" w:rsidRPr="00AF1A0D">
        <w:rPr>
          <w:rFonts w:ascii="Verdana" w:eastAsia="Verdana" w:hAnsi="Verdana"/>
          <w:color w:val="000000"/>
          <w:spacing w:val="5"/>
          <w:sz w:val="19"/>
          <w:lang w:val="es-ES"/>
        </w:rPr>
        <w:t>peribulbar</w:t>
      </w:r>
      <w:proofErr w:type="spellEnd"/>
      <w:r w:rsidR="00AF1A0D" w:rsidRPr="00AF1A0D">
        <w:rPr>
          <w:rFonts w:ascii="Verdana" w:eastAsia="Verdana" w:hAnsi="Verdana"/>
          <w:color w:val="000000"/>
          <w:spacing w:val="5"/>
          <w:sz w:val="19"/>
          <w:lang w:val="es-ES"/>
        </w:rPr>
        <w:t>)</w:t>
      </w:r>
      <w:r w:rsidR="00AF1A0D">
        <w:rPr>
          <w:rFonts w:ascii="Verdana" w:eastAsia="Verdana" w:hAnsi="Verdana"/>
          <w:color w:val="000000"/>
          <w:spacing w:val="5"/>
          <w:sz w:val="19"/>
          <w:lang w:val="es-ES"/>
        </w:rPr>
        <w:t xml:space="preserve">. </w:t>
      </w:r>
      <w:r>
        <w:rPr>
          <w:rFonts w:ascii="Verdana" w:eastAsia="Verdana" w:hAnsi="Verdana"/>
          <w:b/>
          <w:color w:val="000000"/>
          <w:spacing w:val="5"/>
          <w:sz w:val="19"/>
          <w:lang w:val="es-ES"/>
        </w:rPr>
        <w:t>ADMINISTRACION:</w:t>
      </w:r>
      <w:r w:rsidR="00AF1A0D">
        <w:rPr>
          <w:rFonts w:ascii="Verdana" w:eastAsia="Verdana" w:hAnsi="Verdana"/>
          <w:b/>
          <w:color w:val="000000"/>
          <w:spacing w:val="5"/>
          <w:sz w:val="19"/>
          <w:lang w:val="es-ES"/>
        </w:rPr>
        <w:t xml:space="preserve"> </w:t>
      </w:r>
      <w:r w:rsidR="00AF1A0D" w:rsidRPr="00AF1A0D">
        <w:rPr>
          <w:rFonts w:ascii="Verdana" w:eastAsia="Verdana" w:hAnsi="Verdana"/>
          <w:color w:val="000000"/>
          <w:spacing w:val="5"/>
          <w:sz w:val="19"/>
          <w:lang w:val="es-ES"/>
        </w:rPr>
        <w:t>Debe repetirse la aspiración antes y durante la administración de una dosis en bolo, que debe ser inyectada lentamente y en dosis incrementales, a una velocidad de 7,5 – 30 mg/min, mientras que se observa cercanamente las funciones vitales del paciente y manteniendo el contacto verbal.</w:t>
      </w:r>
      <w:r>
        <w:rPr>
          <w:rFonts w:ascii="Verdana" w:eastAsia="Verdana" w:hAnsi="Verdana"/>
          <w:color w:val="000000"/>
          <w:spacing w:val="5"/>
          <w:sz w:val="19"/>
          <w:lang w:val="es-ES"/>
        </w:rPr>
        <w:t xml:space="preserve"> </w:t>
      </w:r>
      <w:r>
        <w:rPr>
          <w:rFonts w:ascii="Verdana" w:eastAsia="Verdana" w:hAnsi="Verdana"/>
          <w:b/>
          <w:color w:val="000000"/>
          <w:spacing w:val="5"/>
          <w:sz w:val="19"/>
          <w:lang w:val="es-ES"/>
        </w:rPr>
        <w:t xml:space="preserve">COMPOSICION CUALI-CUANTITATIVA: </w:t>
      </w:r>
      <w:r w:rsidR="00AF1A0D" w:rsidRPr="00AF1A0D">
        <w:rPr>
          <w:rFonts w:ascii="Verdana" w:eastAsia="Verdana" w:hAnsi="Verdana"/>
          <w:color w:val="000000"/>
          <w:spacing w:val="5"/>
          <w:sz w:val="19"/>
          <w:lang w:val="es-ES"/>
        </w:rPr>
        <w:t>C</w:t>
      </w:r>
      <w:r>
        <w:rPr>
          <w:rFonts w:ascii="Verdana" w:eastAsia="Verdana" w:hAnsi="Verdana"/>
          <w:color w:val="000000"/>
          <w:spacing w:val="5"/>
          <w:sz w:val="19"/>
          <w:lang w:val="es-ES"/>
        </w:rPr>
        <w:t>onsiste e</w:t>
      </w:r>
      <w:r w:rsidR="00AF1A0D">
        <w:rPr>
          <w:rFonts w:ascii="Verdana" w:eastAsia="Verdana" w:hAnsi="Verdana"/>
          <w:color w:val="000000"/>
          <w:spacing w:val="5"/>
          <w:sz w:val="19"/>
          <w:lang w:val="es-ES"/>
        </w:rPr>
        <w:t>n ampollas</w:t>
      </w:r>
      <w:r w:rsidR="00AF1A0D" w:rsidRPr="00AF1A0D">
        <w:rPr>
          <w:rFonts w:ascii="Verdana" w:eastAsia="Verdana" w:hAnsi="Verdana"/>
          <w:color w:val="000000"/>
          <w:spacing w:val="5"/>
          <w:sz w:val="19"/>
          <w:lang w:val="es-ES"/>
        </w:rPr>
        <w:t xml:space="preserve"> de polipropileno</w:t>
      </w:r>
      <w:r w:rsidR="00AF1A0D">
        <w:rPr>
          <w:rFonts w:ascii="Verdana" w:eastAsia="Verdana" w:hAnsi="Verdana"/>
          <w:color w:val="000000"/>
          <w:spacing w:val="5"/>
          <w:sz w:val="19"/>
          <w:lang w:val="es-ES"/>
        </w:rPr>
        <w:t xml:space="preserve"> </w:t>
      </w:r>
      <w:r w:rsidR="00AF1A0D" w:rsidRPr="00AF1A0D">
        <w:rPr>
          <w:rFonts w:ascii="Verdana" w:eastAsia="Verdana" w:hAnsi="Verdana"/>
          <w:color w:val="000000"/>
          <w:spacing w:val="5"/>
          <w:sz w:val="19"/>
          <w:lang w:val="es-ES"/>
        </w:rPr>
        <w:t>con o sin envase blíster que consiste en una lámina inferior de una película de policarbonato y lamina superior de fibra de PEAD</w:t>
      </w:r>
      <w:r w:rsidR="00AF1A0D">
        <w:rPr>
          <w:rFonts w:ascii="Verdana" w:eastAsia="Verdana" w:hAnsi="Verdana"/>
          <w:color w:val="000000"/>
          <w:spacing w:val="5"/>
          <w:sz w:val="19"/>
          <w:lang w:val="es-ES"/>
        </w:rPr>
        <w:t xml:space="preserve">. </w:t>
      </w:r>
      <w:r>
        <w:rPr>
          <w:rFonts w:ascii="Verdana" w:eastAsia="Verdana" w:hAnsi="Verdana"/>
          <w:b/>
          <w:color w:val="000000"/>
          <w:spacing w:val="5"/>
          <w:sz w:val="19"/>
          <w:lang w:val="es-ES"/>
        </w:rPr>
        <w:t xml:space="preserve">La composición corresponde a: </w:t>
      </w:r>
      <w:r w:rsidR="00AF1A0D" w:rsidRPr="0045515D">
        <w:rPr>
          <w:rFonts w:ascii="Verdana" w:eastAsia="Verdana" w:hAnsi="Verdana"/>
          <w:color w:val="000000"/>
          <w:spacing w:val="5"/>
          <w:sz w:val="19"/>
          <w:lang w:val="es-ES"/>
        </w:rPr>
        <w:t>Levobupivaca</w:t>
      </w:r>
      <w:r w:rsidR="0045515D">
        <w:rPr>
          <w:rFonts w:ascii="Verdana" w:eastAsia="Verdana" w:hAnsi="Verdana"/>
          <w:color w:val="000000"/>
          <w:spacing w:val="5"/>
          <w:sz w:val="19"/>
          <w:lang w:val="es-ES"/>
        </w:rPr>
        <w:t>í</w:t>
      </w:r>
      <w:r w:rsidR="00AF1A0D" w:rsidRPr="0045515D">
        <w:rPr>
          <w:rFonts w:ascii="Verdana" w:eastAsia="Verdana" w:hAnsi="Verdana"/>
          <w:color w:val="000000"/>
          <w:spacing w:val="5"/>
          <w:sz w:val="19"/>
          <w:lang w:val="es-ES"/>
        </w:rPr>
        <w:t>na clorhidrato,</w:t>
      </w:r>
      <w:r w:rsidR="00AF1A0D">
        <w:rPr>
          <w:rFonts w:ascii="Verdana" w:eastAsia="Verdana" w:hAnsi="Verdana"/>
          <w:b/>
          <w:color w:val="000000"/>
          <w:spacing w:val="5"/>
          <w:sz w:val="19"/>
          <w:lang w:val="es-ES"/>
        </w:rPr>
        <w:t xml:space="preserve"> </w:t>
      </w:r>
      <w:r w:rsidR="0045515D">
        <w:rPr>
          <w:rFonts w:ascii="Verdana" w:eastAsia="Verdana" w:hAnsi="Verdana"/>
          <w:color w:val="000000"/>
          <w:spacing w:val="5"/>
          <w:sz w:val="19"/>
          <w:lang w:val="es-ES"/>
        </w:rPr>
        <w:t>c</w:t>
      </w:r>
      <w:r w:rsidR="0045515D" w:rsidRPr="0045515D">
        <w:rPr>
          <w:rFonts w:ascii="Verdana" w:eastAsia="Verdana" w:hAnsi="Verdana"/>
          <w:color w:val="000000"/>
          <w:spacing w:val="5"/>
          <w:sz w:val="19"/>
          <w:lang w:val="es-ES"/>
        </w:rPr>
        <w:t>loruro de sodio, ácido clorhídrico, hidróxido de sodio, agua para inyectable</w:t>
      </w:r>
      <w:r w:rsidR="0045515D" w:rsidRPr="0045515D">
        <w:rPr>
          <w:rFonts w:ascii="Verdana" w:eastAsia="Verdana" w:hAnsi="Verdana"/>
          <w:b/>
          <w:color w:val="000000"/>
          <w:spacing w:val="5"/>
          <w:sz w:val="19"/>
          <w:lang w:val="es-ES"/>
        </w:rPr>
        <w:t xml:space="preserve">. </w:t>
      </w:r>
      <w:r>
        <w:rPr>
          <w:rFonts w:ascii="Verdana" w:eastAsia="Verdana" w:hAnsi="Verdana"/>
          <w:b/>
          <w:color w:val="000000"/>
          <w:spacing w:val="5"/>
          <w:sz w:val="19"/>
          <w:lang w:val="es-ES"/>
        </w:rPr>
        <w:t>TERAPÉUTICAS:</w:t>
      </w:r>
      <w:r w:rsidR="0045515D">
        <w:rPr>
          <w:rFonts w:ascii="Verdana" w:eastAsia="Verdana" w:hAnsi="Verdana"/>
          <w:b/>
          <w:color w:val="000000"/>
          <w:spacing w:val="5"/>
          <w:sz w:val="19"/>
          <w:lang w:val="es-ES"/>
        </w:rPr>
        <w:t xml:space="preserve"> </w:t>
      </w:r>
      <w:r w:rsidR="0045515D" w:rsidRPr="0045515D">
        <w:rPr>
          <w:rFonts w:ascii="Verdana" w:eastAsia="Verdana" w:hAnsi="Verdana"/>
          <w:i/>
          <w:iCs/>
          <w:color w:val="000000"/>
          <w:spacing w:val="5"/>
          <w:sz w:val="19"/>
          <w:lang w:val="es-ES"/>
        </w:rPr>
        <w:t>Adultos:</w:t>
      </w:r>
      <w:r w:rsidR="0045515D" w:rsidRPr="0045515D">
        <w:rPr>
          <w:rFonts w:ascii="Verdana" w:eastAsia="Verdana" w:hAnsi="Verdana"/>
          <w:color w:val="000000"/>
          <w:spacing w:val="5"/>
          <w:sz w:val="19"/>
          <w:lang w:val="es-ES"/>
        </w:rPr>
        <w:t xml:space="preserve"> Anestesia quirúrgica: - Mayor: Bloqueo epidural (incluyendo cesárea), intratecal, </w:t>
      </w:r>
      <w:proofErr w:type="spellStart"/>
      <w:r w:rsidR="0045515D" w:rsidRPr="0045515D">
        <w:rPr>
          <w:rFonts w:ascii="Verdana" w:eastAsia="Verdana" w:hAnsi="Verdana"/>
          <w:color w:val="000000"/>
          <w:spacing w:val="5"/>
          <w:sz w:val="19"/>
          <w:lang w:val="es-ES"/>
        </w:rPr>
        <w:t>perineural</w:t>
      </w:r>
      <w:proofErr w:type="spellEnd"/>
      <w:r w:rsidR="0045515D" w:rsidRPr="0045515D">
        <w:rPr>
          <w:rFonts w:ascii="Verdana" w:eastAsia="Verdana" w:hAnsi="Verdana"/>
          <w:color w:val="000000"/>
          <w:spacing w:val="5"/>
          <w:sz w:val="19"/>
          <w:lang w:val="es-ES"/>
        </w:rPr>
        <w:t xml:space="preserve"> bloqueo de nervio periférico. - Menor: Infiltración local, incluyendo bloqueo </w:t>
      </w:r>
      <w:proofErr w:type="spellStart"/>
      <w:r w:rsidR="0045515D" w:rsidRPr="0045515D">
        <w:rPr>
          <w:rFonts w:ascii="Verdana" w:eastAsia="Verdana" w:hAnsi="Verdana"/>
          <w:color w:val="000000"/>
          <w:spacing w:val="5"/>
          <w:sz w:val="19"/>
          <w:lang w:val="es-ES"/>
        </w:rPr>
        <w:t>peribulbar</w:t>
      </w:r>
      <w:proofErr w:type="spellEnd"/>
      <w:r w:rsidR="0045515D" w:rsidRPr="0045515D">
        <w:rPr>
          <w:rFonts w:ascii="Verdana" w:eastAsia="Verdana" w:hAnsi="Verdana"/>
          <w:color w:val="000000"/>
          <w:spacing w:val="5"/>
          <w:sz w:val="19"/>
          <w:lang w:val="es-ES"/>
        </w:rPr>
        <w:t xml:space="preserve"> en cirugía oftálmica. y bloqueo </w:t>
      </w:r>
      <w:proofErr w:type="spellStart"/>
      <w:r w:rsidR="0045515D" w:rsidRPr="0045515D">
        <w:rPr>
          <w:rFonts w:ascii="Verdana" w:eastAsia="Verdana" w:hAnsi="Verdana"/>
          <w:color w:val="000000"/>
          <w:spacing w:val="5"/>
          <w:sz w:val="19"/>
          <w:lang w:val="es-ES"/>
        </w:rPr>
        <w:t>peribulbar</w:t>
      </w:r>
      <w:proofErr w:type="spellEnd"/>
      <w:r w:rsidR="0045515D" w:rsidRPr="0045515D">
        <w:rPr>
          <w:rFonts w:ascii="Verdana" w:eastAsia="Verdana" w:hAnsi="Verdana"/>
          <w:color w:val="000000"/>
          <w:spacing w:val="5"/>
          <w:sz w:val="19"/>
          <w:lang w:val="es-ES"/>
        </w:rPr>
        <w:t xml:space="preserve"> en cirugía oftalmológica. Manejo del dolor:</w:t>
      </w:r>
      <w:r w:rsidR="0045515D" w:rsidRPr="0045515D">
        <w:rPr>
          <w:rFonts w:ascii="Verdana" w:eastAsia="Verdana" w:hAnsi="Verdana"/>
          <w:b/>
          <w:color w:val="000000"/>
          <w:spacing w:val="5"/>
          <w:sz w:val="19"/>
          <w:lang w:val="es-ES"/>
        </w:rPr>
        <w:t xml:space="preserve"> </w:t>
      </w:r>
      <w:r w:rsidR="0045515D" w:rsidRPr="0045515D">
        <w:rPr>
          <w:rFonts w:ascii="Verdana" w:eastAsia="Verdana" w:hAnsi="Verdana"/>
          <w:color w:val="000000"/>
          <w:spacing w:val="5"/>
          <w:sz w:val="19"/>
          <w:lang w:val="es-ES"/>
        </w:rPr>
        <w:t>- perfusión epidural continua, administración única o múltiple en bolo para analgesia postoperatoria, obstétrica o dolor crónico. - Para la analgesia epidural continua, la Levobupivacaína puede administrarse en combinación con fentanilo, morfina o clonidina por vía epidural.</w:t>
      </w:r>
      <w:r w:rsidR="0045515D">
        <w:rPr>
          <w:rFonts w:ascii="Verdana" w:eastAsia="Verdana" w:hAnsi="Verdana"/>
          <w:b/>
          <w:color w:val="000000"/>
          <w:spacing w:val="5"/>
          <w:sz w:val="19"/>
          <w:lang w:val="es-ES"/>
        </w:rPr>
        <w:t xml:space="preserve"> </w:t>
      </w:r>
      <w:r>
        <w:rPr>
          <w:rFonts w:ascii="Verdana" w:eastAsia="Verdana" w:hAnsi="Verdana"/>
          <w:color w:val="000000"/>
          <w:spacing w:val="5"/>
          <w:sz w:val="19"/>
          <w:lang w:val="es-ES"/>
        </w:rPr>
        <w:t>Nutrición Parenteral para pacientes adultos cuando la nutrición oral o enteral es imposible, insuficiente o está contraindicada.</w:t>
      </w:r>
      <w:r w:rsidR="0045515D">
        <w:rPr>
          <w:rFonts w:ascii="Verdana" w:eastAsia="Verdana" w:hAnsi="Verdana"/>
          <w:color w:val="000000"/>
          <w:spacing w:val="5"/>
          <w:sz w:val="19"/>
          <w:lang w:val="es-ES"/>
        </w:rPr>
        <w:t xml:space="preserve"> </w:t>
      </w:r>
      <w:r w:rsidR="004E2EB7">
        <w:rPr>
          <w:rFonts w:ascii="Verdana" w:eastAsia="Verdana" w:hAnsi="Verdana"/>
          <w:color w:val="000000"/>
          <w:spacing w:val="5"/>
          <w:sz w:val="19"/>
          <w:lang w:val="es-ES"/>
        </w:rPr>
        <w:t>Pediatría</w:t>
      </w:r>
      <w:r w:rsidR="0045515D">
        <w:rPr>
          <w:rFonts w:ascii="Verdana" w:eastAsia="Verdana" w:hAnsi="Verdana"/>
          <w:color w:val="000000"/>
          <w:spacing w:val="5"/>
          <w:sz w:val="19"/>
          <w:lang w:val="es-ES"/>
        </w:rPr>
        <w:t xml:space="preserve">: </w:t>
      </w:r>
      <w:r w:rsidR="0045515D" w:rsidRPr="0045515D">
        <w:rPr>
          <w:rFonts w:ascii="Verdana" w:eastAsia="Verdana" w:hAnsi="Verdana"/>
          <w:color w:val="000000"/>
          <w:spacing w:val="5"/>
          <w:sz w:val="19"/>
          <w:lang w:val="es-ES"/>
        </w:rPr>
        <w:t xml:space="preserve">Analgesia </w:t>
      </w:r>
      <w:proofErr w:type="spellStart"/>
      <w:r w:rsidR="0045515D" w:rsidRPr="0045515D">
        <w:rPr>
          <w:rFonts w:ascii="Verdana" w:eastAsia="Verdana" w:hAnsi="Verdana"/>
          <w:color w:val="000000"/>
          <w:spacing w:val="5"/>
          <w:sz w:val="19"/>
          <w:lang w:val="es-ES"/>
        </w:rPr>
        <w:t>perineural</w:t>
      </w:r>
      <w:proofErr w:type="spellEnd"/>
      <w:r w:rsidR="0045515D" w:rsidRPr="0045515D">
        <w:rPr>
          <w:rFonts w:ascii="Verdana" w:eastAsia="Verdana" w:hAnsi="Verdana"/>
          <w:color w:val="000000"/>
          <w:spacing w:val="5"/>
          <w:sz w:val="19"/>
          <w:lang w:val="es-ES"/>
        </w:rPr>
        <w:t xml:space="preserve"> (bloqueo </w:t>
      </w:r>
      <w:proofErr w:type="spellStart"/>
      <w:r w:rsidR="0045515D" w:rsidRPr="0045515D">
        <w:rPr>
          <w:rFonts w:ascii="Verdana" w:eastAsia="Verdana" w:hAnsi="Verdana"/>
          <w:color w:val="000000"/>
          <w:spacing w:val="5"/>
          <w:sz w:val="19"/>
          <w:lang w:val="es-ES"/>
        </w:rPr>
        <w:t>ilio</w:t>
      </w:r>
      <w:proofErr w:type="spellEnd"/>
      <w:r w:rsidR="0045515D" w:rsidRPr="0045515D">
        <w:rPr>
          <w:rFonts w:ascii="Verdana" w:eastAsia="Verdana" w:hAnsi="Verdana"/>
          <w:color w:val="000000"/>
          <w:spacing w:val="5"/>
          <w:sz w:val="19"/>
          <w:lang w:val="es-ES"/>
        </w:rPr>
        <w:t xml:space="preserve">-inguinal/bloqueo </w:t>
      </w:r>
      <w:proofErr w:type="spellStart"/>
      <w:r w:rsidR="0045515D" w:rsidRPr="0045515D">
        <w:rPr>
          <w:rFonts w:ascii="Verdana" w:eastAsia="Verdana" w:hAnsi="Verdana"/>
          <w:color w:val="000000"/>
          <w:spacing w:val="5"/>
          <w:sz w:val="19"/>
          <w:lang w:val="es-ES"/>
        </w:rPr>
        <w:t>ilio</w:t>
      </w:r>
      <w:proofErr w:type="spellEnd"/>
      <w:r w:rsidR="0045515D" w:rsidRPr="0045515D">
        <w:rPr>
          <w:rFonts w:ascii="Verdana" w:eastAsia="Verdana" w:hAnsi="Verdana"/>
          <w:color w:val="000000"/>
          <w:spacing w:val="5"/>
          <w:sz w:val="19"/>
          <w:lang w:val="es-ES"/>
        </w:rPr>
        <w:t>-hipogástrico)</w:t>
      </w:r>
      <w:r w:rsidR="0045515D">
        <w:rPr>
          <w:rFonts w:ascii="Verdana" w:eastAsia="Verdana" w:hAnsi="Verdana"/>
          <w:color w:val="000000"/>
          <w:spacing w:val="5"/>
          <w:sz w:val="19"/>
          <w:lang w:val="es-ES"/>
        </w:rPr>
        <w:t xml:space="preserve">. </w:t>
      </w:r>
      <w:r w:rsidR="0045515D" w:rsidRPr="0045515D">
        <w:rPr>
          <w:rFonts w:ascii="Verdana" w:eastAsia="Verdana" w:hAnsi="Verdana"/>
          <w:color w:val="000000"/>
          <w:spacing w:val="5"/>
          <w:sz w:val="19"/>
          <w:lang w:val="es-ES"/>
        </w:rPr>
        <w:t>No hay información disponible en población pediátrica &lt; menor de 6 meses de edad</w:t>
      </w:r>
      <w:r w:rsidR="0045515D" w:rsidRPr="00462A5A">
        <w:rPr>
          <w:rFonts w:ascii="Verdana" w:eastAsia="Verdana" w:hAnsi="Verdana"/>
          <w:color w:val="000000"/>
          <w:spacing w:val="5"/>
          <w:sz w:val="19"/>
          <w:lang w:val="es-ES"/>
        </w:rPr>
        <w:t>.</w:t>
      </w:r>
      <w:r w:rsidRPr="00462A5A">
        <w:rPr>
          <w:rFonts w:ascii="Verdana" w:eastAsia="Verdana" w:hAnsi="Verdana"/>
          <w:color w:val="000000"/>
          <w:spacing w:val="5"/>
          <w:sz w:val="19"/>
          <w:lang w:val="es-ES"/>
        </w:rPr>
        <w:t xml:space="preserve"> </w:t>
      </w:r>
      <w:r w:rsidRPr="00462A5A">
        <w:rPr>
          <w:rFonts w:ascii="Verdana" w:eastAsia="Verdana" w:hAnsi="Verdana"/>
          <w:b/>
          <w:color w:val="000000"/>
          <w:spacing w:val="5"/>
          <w:sz w:val="19"/>
          <w:lang w:val="es-ES"/>
        </w:rPr>
        <w:t xml:space="preserve">POSOLOGÍA Y MÉTODO DE ADMINISTRACIÓN: </w:t>
      </w:r>
      <w:r w:rsidR="00462A5A" w:rsidRPr="00462A5A">
        <w:rPr>
          <w:rFonts w:ascii="Verdana" w:eastAsia="Verdana" w:hAnsi="Verdana"/>
          <w:color w:val="000000"/>
          <w:spacing w:val="5"/>
          <w:sz w:val="19"/>
          <w:lang w:val="es-ES"/>
        </w:rPr>
        <w:t>Para analgesia (ej. administración epidural para el tratamiento manejo del dolor), se recomiendan las concentraciones y dosis más bajas menores.</w:t>
      </w:r>
      <w:r w:rsidR="00462A5A">
        <w:rPr>
          <w:rFonts w:ascii="Verdana" w:eastAsia="Verdana" w:hAnsi="Verdana"/>
          <w:color w:val="000000"/>
          <w:spacing w:val="5"/>
          <w:sz w:val="19"/>
          <w:lang w:val="es-ES"/>
        </w:rPr>
        <w:t xml:space="preserve"> </w:t>
      </w:r>
      <w:r w:rsidR="00462A5A" w:rsidRPr="00462A5A">
        <w:rPr>
          <w:rFonts w:ascii="Verdana" w:eastAsia="Verdana" w:hAnsi="Verdana"/>
          <w:color w:val="000000"/>
          <w:spacing w:val="5"/>
          <w:sz w:val="19"/>
          <w:lang w:val="es-ES"/>
        </w:rPr>
        <w:t xml:space="preserve">La aspiración debe repetirse antes y durante la administración de una dosis en </w:t>
      </w:r>
      <w:proofErr w:type="gramStart"/>
      <w:r w:rsidR="00462A5A" w:rsidRPr="00462A5A">
        <w:rPr>
          <w:rFonts w:ascii="Verdana" w:eastAsia="Verdana" w:hAnsi="Verdana"/>
          <w:color w:val="000000"/>
          <w:spacing w:val="5"/>
          <w:sz w:val="19"/>
          <w:lang w:val="es-ES"/>
        </w:rPr>
        <w:t>bolo,  que</w:t>
      </w:r>
      <w:proofErr w:type="gramEnd"/>
      <w:r w:rsidR="00462A5A" w:rsidRPr="00462A5A">
        <w:rPr>
          <w:rFonts w:ascii="Verdana" w:eastAsia="Verdana" w:hAnsi="Verdana"/>
          <w:color w:val="000000"/>
          <w:spacing w:val="5"/>
          <w:sz w:val="19"/>
          <w:lang w:val="es-ES"/>
        </w:rPr>
        <w:t xml:space="preserve"> debe inyectarse lentamente y en incrementos de dosis a una velocidad de 7,5-30 mg/min, mientras se monitorizan estrechamente las funciones vitales del paciente y  se mantiene contacto verbal con el mismo.</w:t>
      </w:r>
      <w:r w:rsidR="00462A5A" w:rsidRPr="00462A5A">
        <w:rPr>
          <w:rFonts w:ascii="Verdana" w:eastAsia="Verdana" w:hAnsi="Verdana"/>
          <w:color w:val="000000"/>
          <w:spacing w:val="5"/>
          <w:sz w:val="19"/>
          <w:lang w:val="es-ES"/>
        </w:rPr>
        <w:t xml:space="preserve"> </w:t>
      </w:r>
      <w:r w:rsidRPr="00462A5A">
        <w:rPr>
          <w:rFonts w:ascii="Verdana" w:eastAsia="Verdana" w:hAnsi="Verdana"/>
          <w:b/>
          <w:color w:val="000000"/>
          <w:spacing w:val="5"/>
          <w:sz w:val="19"/>
          <w:lang w:val="es-ES"/>
        </w:rPr>
        <w:t>Dosis Diaria Máxima Recomendada</w:t>
      </w:r>
      <w:r w:rsidR="00462A5A">
        <w:rPr>
          <w:rFonts w:ascii="Verdana" w:eastAsia="Verdana" w:hAnsi="Verdana"/>
          <w:b/>
          <w:color w:val="000000"/>
          <w:spacing w:val="5"/>
          <w:sz w:val="19"/>
          <w:lang w:val="es-ES"/>
        </w:rPr>
        <w:t xml:space="preserve">: </w:t>
      </w:r>
      <w:r w:rsidR="00462A5A" w:rsidRPr="00462A5A">
        <w:rPr>
          <w:rFonts w:ascii="Verdana" w:eastAsia="Verdana" w:hAnsi="Verdana"/>
          <w:color w:val="000000"/>
          <w:spacing w:val="5"/>
          <w:sz w:val="19"/>
          <w:lang w:val="es-ES"/>
        </w:rPr>
        <w:t xml:space="preserve">La dosis única máxima recomendada es de 150 mg. Pueden requerirse dosis </w:t>
      </w:r>
      <w:proofErr w:type="gramStart"/>
      <w:r w:rsidR="00462A5A" w:rsidRPr="00462A5A">
        <w:rPr>
          <w:rFonts w:ascii="Verdana" w:eastAsia="Verdana" w:hAnsi="Verdana"/>
          <w:color w:val="000000"/>
          <w:spacing w:val="5"/>
          <w:sz w:val="19"/>
          <w:lang w:val="es-ES"/>
        </w:rPr>
        <w:t>adicionales  cuando</w:t>
      </w:r>
      <w:proofErr w:type="gramEnd"/>
      <w:r w:rsidR="00462A5A" w:rsidRPr="00462A5A">
        <w:rPr>
          <w:rFonts w:ascii="Verdana" w:eastAsia="Verdana" w:hAnsi="Verdana"/>
          <w:color w:val="000000"/>
          <w:spacing w:val="5"/>
          <w:sz w:val="19"/>
          <w:lang w:val="es-ES"/>
        </w:rPr>
        <w:t xml:space="preserve"> se necesite un Donde se requieren bloqueo motor y sensitivo sensorial sostenido para un procedimiento prolongado, dosis adicionales pueden requerirse. La dosis máxima recomendada, </w:t>
      </w:r>
      <w:proofErr w:type="gramStart"/>
      <w:r w:rsidR="00462A5A" w:rsidRPr="00462A5A">
        <w:rPr>
          <w:rFonts w:ascii="Verdana" w:eastAsia="Verdana" w:hAnsi="Verdana"/>
          <w:color w:val="000000"/>
          <w:spacing w:val="5"/>
          <w:sz w:val="19"/>
          <w:lang w:val="es-ES"/>
        </w:rPr>
        <w:t>para  durante</w:t>
      </w:r>
      <w:proofErr w:type="gramEnd"/>
      <w:r w:rsidR="00462A5A" w:rsidRPr="00462A5A">
        <w:rPr>
          <w:rFonts w:ascii="Verdana" w:eastAsia="Verdana" w:hAnsi="Verdana"/>
          <w:color w:val="000000"/>
          <w:spacing w:val="5"/>
          <w:sz w:val="19"/>
          <w:lang w:val="es-ES"/>
        </w:rPr>
        <w:t xml:space="preserve"> un periodo de tiempo de 24 horas, es de 400 mg. Para tratamiento manejo del dolor postquirúrgico postoperatorio, la dosis no debe sobrepasar exceder los 18,75 mg/hora.</w:t>
      </w:r>
      <w:r>
        <w:rPr>
          <w:rFonts w:ascii="Arial" w:eastAsia="Arial" w:hAnsi="Arial"/>
          <w:color w:val="000000"/>
          <w:lang w:val="es-ES"/>
        </w:rPr>
        <w:t xml:space="preserve"> </w:t>
      </w:r>
      <w:r w:rsidRPr="00072A96">
        <w:rPr>
          <w:rFonts w:ascii="Verdana" w:eastAsia="Verdana" w:hAnsi="Verdana"/>
          <w:b/>
          <w:color w:val="000000"/>
          <w:spacing w:val="5"/>
          <w:sz w:val="19"/>
          <w:lang w:val="es-ES"/>
        </w:rPr>
        <w:t>Pacientes Pediátricos:</w:t>
      </w:r>
      <w:r>
        <w:rPr>
          <w:rFonts w:ascii="Verdana" w:eastAsia="Verdana" w:hAnsi="Verdana"/>
          <w:b/>
          <w:color w:val="000000"/>
          <w:spacing w:val="5"/>
          <w:sz w:val="19"/>
          <w:lang w:val="es-ES"/>
        </w:rPr>
        <w:t xml:space="preserve"> </w:t>
      </w:r>
      <w:r w:rsidRPr="00072A96">
        <w:rPr>
          <w:rFonts w:ascii="Verdana" w:eastAsia="Verdana" w:hAnsi="Verdana"/>
          <w:color w:val="000000"/>
          <w:spacing w:val="5"/>
          <w:sz w:val="19"/>
          <w:lang w:val="es-ES"/>
        </w:rPr>
        <w:t>En niños (&lt;12 años), la dosis máxima recomendadas para analgesia</w:t>
      </w:r>
      <w:r>
        <w:rPr>
          <w:rFonts w:ascii="Verdana" w:eastAsia="Verdana" w:hAnsi="Verdana"/>
          <w:color w:val="000000"/>
          <w:spacing w:val="5"/>
          <w:sz w:val="19"/>
          <w:lang w:val="es-ES"/>
        </w:rPr>
        <w:t xml:space="preserve"> </w:t>
      </w:r>
      <w:r w:rsidRPr="00072A96">
        <w:rPr>
          <w:rFonts w:ascii="Verdana" w:eastAsia="Verdana" w:hAnsi="Verdana"/>
          <w:color w:val="000000"/>
          <w:spacing w:val="5"/>
          <w:sz w:val="19"/>
          <w:lang w:val="es-ES"/>
        </w:rPr>
        <w:t>es 1,25 mg/kg/lado. Se debe ajustar la dosis máxima teniendo en cuenta el tamaño</w:t>
      </w:r>
      <w:r>
        <w:rPr>
          <w:rFonts w:ascii="Verdana" w:eastAsia="Verdana" w:hAnsi="Verdana"/>
          <w:color w:val="000000"/>
          <w:spacing w:val="5"/>
          <w:sz w:val="19"/>
          <w:lang w:val="es-ES"/>
        </w:rPr>
        <w:t xml:space="preserve">. </w:t>
      </w:r>
      <w:r w:rsidRPr="00072A96">
        <w:rPr>
          <w:rFonts w:ascii="Verdana" w:eastAsia="Verdana" w:hAnsi="Verdana"/>
          <w:color w:val="000000"/>
          <w:spacing w:val="5"/>
          <w:sz w:val="19"/>
          <w:lang w:val="es-ES"/>
        </w:rPr>
        <w:t>La dosis máxima debe ajustarse de acuerdo con la talla, constitución corporal y estado físico del paciente/niño.</w:t>
      </w:r>
      <w:r>
        <w:rPr>
          <w:rFonts w:ascii="Verdana" w:eastAsia="Verdana" w:hAnsi="Verdana"/>
          <w:color w:val="000000"/>
          <w:spacing w:val="5"/>
          <w:sz w:val="19"/>
          <w:lang w:val="es-ES"/>
        </w:rPr>
        <w:t xml:space="preserve"> </w:t>
      </w:r>
      <w:r>
        <w:rPr>
          <w:rFonts w:ascii="Verdana" w:eastAsia="Verdana" w:hAnsi="Verdana"/>
          <w:b/>
          <w:color w:val="000000"/>
          <w:spacing w:val="5"/>
          <w:sz w:val="19"/>
          <w:lang w:val="es-ES"/>
        </w:rPr>
        <w:t>Obstetricia</w:t>
      </w:r>
      <w:r w:rsidRPr="00072A96">
        <w:rPr>
          <w:rFonts w:ascii="Verdana" w:eastAsia="Verdana" w:hAnsi="Verdana"/>
          <w:b/>
          <w:color w:val="000000"/>
          <w:spacing w:val="5"/>
          <w:sz w:val="19"/>
          <w:lang w:val="es-ES"/>
        </w:rPr>
        <w:t>:</w:t>
      </w:r>
      <w:r>
        <w:rPr>
          <w:rFonts w:ascii="Verdana" w:eastAsia="Verdana" w:hAnsi="Verdana"/>
          <w:color w:val="000000"/>
          <w:spacing w:val="5"/>
          <w:sz w:val="19"/>
          <w:lang w:val="es-ES"/>
        </w:rPr>
        <w:t xml:space="preserve"> </w:t>
      </w:r>
      <w:r w:rsidRPr="00072A96">
        <w:rPr>
          <w:rFonts w:ascii="Verdana" w:eastAsia="Verdana" w:hAnsi="Verdana"/>
          <w:color w:val="000000"/>
          <w:spacing w:val="5"/>
          <w:sz w:val="19"/>
          <w:lang w:val="es-ES"/>
        </w:rPr>
        <w:t>Para cesárea, no deben utilizarse usarse concentraciones superiores mayores que una a</w:t>
      </w:r>
    </w:p>
    <w:p w14:paraId="0EB3C076" w14:textId="77777777" w:rsidR="00072A96" w:rsidRPr="00072A96" w:rsidRDefault="00072A96" w:rsidP="00072A96">
      <w:pPr>
        <w:spacing w:line="249" w:lineRule="exact"/>
        <w:textAlignment w:val="baseline"/>
        <w:rPr>
          <w:rFonts w:ascii="Verdana" w:eastAsia="Verdana" w:hAnsi="Verdana"/>
          <w:color w:val="000000"/>
          <w:spacing w:val="5"/>
          <w:sz w:val="19"/>
          <w:lang w:val="es-ES"/>
        </w:rPr>
      </w:pPr>
      <w:r w:rsidRPr="00072A96">
        <w:rPr>
          <w:rFonts w:ascii="Verdana" w:eastAsia="Verdana" w:hAnsi="Verdana"/>
          <w:color w:val="000000"/>
          <w:spacing w:val="5"/>
          <w:sz w:val="19"/>
          <w:lang w:val="es-ES"/>
        </w:rPr>
        <w:t>la solución de 5,0 mg/</w:t>
      </w:r>
      <w:proofErr w:type="spellStart"/>
      <w:r w:rsidRPr="00072A96">
        <w:rPr>
          <w:rFonts w:ascii="Verdana" w:eastAsia="Verdana" w:hAnsi="Verdana"/>
          <w:color w:val="000000"/>
          <w:spacing w:val="5"/>
          <w:sz w:val="19"/>
          <w:lang w:val="es-ES"/>
        </w:rPr>
        <w:t>mL</w:t>
      </w:r>
      <w:proofErr w:type="spellEnd"/>
      <w:r w:rsidRPr="00072A96">
        <w:rPr>
          <w:rFonts w:ascii="Verdana" w:eastAsia="Verdana" w:hAnsi="Verdana"/>
          <w:color w:val="000000"/>
          <w:spacing w:val="5"/>
          <w:sz w:val="19"/>
          <w:lang w:val="es-ES"/>
        </w:rPr>
        <w:t xml:space="preserve"> (ver sección 4.3). La dosis máxima recomendada es 150 mg.</w:t>
      </w:r>
    </w:p>
    <w:p w14:paraId="20EB3560" w14:textId="77777777" w:rsidR="00072A96" w:rsidRPr="00072A96" w:rsidRDefault="00072A96" w:rsidP="00072A96">
      <w:pPr>
        <w:spacing w:before="2" w:line="253" w:lineRule="exact"/>
        <w:textAlignment w:val="baseline"/>
        <w:rPr>
          <w:rFonts w:ascii="Verdana" w:eastAsia="Verdana" w:hAnsi="Verdana"/>
          <w:color w:val="000000"/>
          <w:spacing w:val="5"/>
          <w:sz w:val="19"/>
          <w:lang w:val="es-ES"/>
        </w:rPr>
      </w:pPr>
      <w:r w:rsidRPr="00072A96">
        <w:rPr>
          <w:rFonts w:ascii="Verdana" w:eastAsia="Verdana" w:hAnsi="Verdana"/>
          <w:color w:val="000000"/>
          <w:spacing w:val="5"/>
          <w:sz w:val="19"/>
          <w:lang w:val="es-ES"/>
        </w:rPr>
        <w:t>Para analgesia en el trabajo de parto por infusión perfusión epidural, la dosis no debe</w:t>
      </w:r>
    </w:p>
    <w:p w14:paraId="1CD7CEB8" w14:textId="41D44481" w:rsidR="004D411E" w:rsidRDefault="00072A96" w:rsidP="00072A96">
      <w:pPr>
        <w:spacing w:before="1" w:line="253" w:lineRule="exact"/>
        <w:textAlignment w:val="baseline"/>
        <w:rPr>
          <w:rFonts w:ascii="Arial" w:eastAsia="Arial" w:hAnsi="Arial"/>
          <w:color w:val="000000"/>
          <w:lang w:val="es-ES"/>
        </w:rPr>
      </w:pPr>
      <w:r w:rsidRPr="00072A96">
        <w:rPr>
          <w:rFonts w:ascii="Verdana" w:eastAsia="Verdana" w:hAnsi="Verdana"/>
          <w:color w:val="000000"/>
          <w:spacing w:val="5"/>
          <w:sz w:val="19"/>
          <w:lang w:val="es-ES"/>
        </w:rPr>
        <w:t>sobrepasar los exceder 12,5 mg/hora.</w:t>
      </w:r>
      <w:r>
        <w:rPr>
          <w:rFonts w:ascii="Verdana" w:eastAsia="Verdana" w:hAnsi="Verdana"/>
          <w:color w:val="000000"/>
          <w:spacing w:val="5"/>
          <w:sz w:val="19"/>
          <w:lang w:val="es-ES"/>
        </w:rPr>
        <w:t xml:space="preserve"> </w:t>
      </w:r>
      <w:r>
        <w:rPr>
          <w:rFonts w:ascii="Verdana" w:eastAsia="Verdana" w:hAnsi="Verdana"/>
          <w:b/>
          <w:color w:val="000000"/>
          <w:spacing w:val="5"/>
          <w:sz w:val="19"/>
          <w:lang w:val="es-ES"/>
        </w:rPr>
        <w:t>C</w:t>
      </w:r>
      <w:r>
        <w:rPr>
          <w:rFonts w:ascii="Verdana" w:eastAsia="Verdana" w:hAnsi="Verdana"/>
          <w:b/>
          <w:color w:val="000000"/>
          <w:spacing w:val="5"/>
          <w:sz w:val="19"/>
          <w:lang w:val="es-ES"/>
        </w:rPr>
        <w:t xml:space="preserve">ONTRAINDICACIONES: </w:t>
      </w:r>
      <w:r w:rsidR="004E2EB7" w:rsidRPr="004E2EB7">
        <w:rPr>
          <w:rFonts w:ascii="Verdana" w:eastAsia="Verdana" w:hAnsi="Verdana"/>
          <w:color w:val="000000"/>
          <w:spacing w:val="5"/>
          <w:sz w:val="19"/>
          <w:lang w:val="es-ES"/>
        </w:rPr>
        <w:t xml:space="preserve">Contraindicaciones generales relacionadas a la anestesia regional, a pesar del anestésico local usado, deben tomarse en cuenta. Hipersensibilidad conocida a levobupivacaína, anestésicos locales del tipo amida o cualquiera de los excipientes. Contraindicado en anestesia intravenosa regional (bloqueo de </w:t>
      </w:r>
      <w:proofErr w:type="spellStart"/>
      <w:r w:rsidR="004E2EB7" w:rsidRPr="004E2EB7">
        <w:rPr>
          <w:rFonts w:ascii="Verdana" w:eastAsia="Verdana" w:hAnsi="Verdana"/>
          <w:color w:val="000000"/>
          <w:spacing w:val="5"/>
          <w:sz w:val="19"/>
          <w:lang w:val="es-ES"/>
        </w:rPr>
        <w:t>Bier</w:t>
      </w:r>
      <w:proofErr w:type="spellEnd"/>
      <w:r w:rsidR="004E2EB7" w:rsidRPr="004E2EB7">
        <w:rPr>
          <w:rFonts w:ascii="Verdana" w:eastAsia="Verdana" w:hAnsi="Verdana"/>
          <w:color w:val="000000"/>
          <w:spacing w:val="5"/>
          <w:sz w:val="19"/>
          <w:lang w:val="es-ES"/>
        </w:rPr>
        <w:t xml:space="preserve">), pacientes con hipotensión severa tales como shock cardiogénico o hipovolémico y el uso en bloqueo </w:t>
      </w:r>
      <w:proofErr w:type="spellStart"/>
      <w:r w:rsidR="004E2EB7" w:rsidRPr="004E2EB7">
        <w:rPr>
          <w:rFonts w:ascii="Verdana" w:eastAsia="Verdana" w:hAnsi="Verdana"/>
          <w:color w:val="000000"/>
          <w:spacing w:val="5"/>
          <w:sz w:val="19"/>
          <w:lang w:val="es-ES"/>
        </w:rPr>
        <w:t>paracervical</w:t>
      </w:r>
      <w:proofErr w:type="spellEnd"/>
      <w:r w:rsidR="004E2EB7" w:rsidRPr="004E2EB7">
        <w:rPr>
          <w:rFonts w:ascii="Verdana" w:eastAsia="Verdana" w:hAnsi="Verdana"/>
          <w:color w:val="000000"/>
          <w:spacing w:val="5"/>
          <w:sz w:val="19"/>
          <w:lang w:val="es-ES"/>
        </w:rPr>
        <w:t xml:space="preserve"> en obstetricia.</w:t>
      </w:r>
      <w:r w:rsidR="004E2EB7">
        <w:rPr>
          <w:rFonts w:ascii="Arial" w:eastAsia="Arial" w:hAnsi="Arial"/>
          <w:color w:val="000000"/>
          <w:lang w:val="es-ES"/>
        </w:rPr>
        <w:t xml:space="preserve"> </w:t>
      </w:r>
      <w:r>
        <w:rPr>
          <w:rFonts w:ascii="Verdana" w:eastAsia="Verdana" w:hAnsi="Verdana"/>
          <w:b/>
          <w:color w:val="000000"/>
          <w:spacing w:val="5"/>
          <w:sz w:val="19"/>
          <w:lang w:val="es-ES"/>
        </w:rPr>
        <w:t>ADVERTENCIAS Y PRECAUCIONES ESPECIALES:</w:t>
      </w:r>
      <w:r w:rsidR="004E2EB7">
        <w:rPr>
          <w:rFonts w:ascii="Verdana" w:eastAsia="Verdana" w:hAnsi="Verdana"/>
          <w:b/>
          <w:color w:val="000000"/>
          <w:spacing w:val="5"/>
          <w:sz w:val="19"/>
          <w:lang w:val="es-ES"/>
        </w:rPr>
        <w:t xml:space="preserve"> </w:t>
      </w:r>
      <w:r w:rsidR="004E2EB7" w:rsidRPr="004E2EB7">
        <w:rPr>
          <w:rFonts w:ascii="Verdana" w:eastAsia="Verdana" w:hAnsi="Verdana"/>
          <w:color w:val="000000"/>
          <w:spacing w:val="5"/>
          <w:sz w:val="19"/>
          <w:lang w:val="es-ES"/>
        </w:rPr>
        <w:t>La introducción de anestésicos locales ya sea por administración intratecal o epidural en el sistema nervioso central en paciente con enfermedades en el SNC preexistentes puede potencialmente exacerbar algunos de estos estados. Por lo tanto, debe ejercerse el juicio clínico cuando se contempla anestesia intratecal o epidural en tales pacientes.</w:t>
      </w:r>
      <w:r w:rsidR="004E2EB7">
        <w:rPr>
          <w:rFonts w:ascii="Verdana" w:eastAsia="Verdana" w:hAnsi="Verdana"/>
          <w:color w:val="000000"/>
          <w:spacing w:val="5"/>
          <w:sz w:val="19"/>
          <w:lang w:val="es-ES"/>
        </w:rPr>
        <w:t xml:space="preserve"> </w:t>
      </w:r>
      <w:r w:rsidR="004E2EB7" w:rsidRPr="004E2EB7">
        <w:rPr>
          <w:rFonts w:ascii="Verdana" w:eastAsia="Verdana" w:hAnsi="Verdana"/>
          <w:color w:val="000000"/>
          <w:spacing w:val="5"/>
          <w:sz w:val="19"/>
          <w:lang w:val="es-ES"/>
        </w:rPr>
        <w:t>Durante la administración epidural deben</w:t>
      </w:r>
      <w:r w:rsidR="004E2EB7">
        <w:rPr>
          <w:rFonts w:ascii="Arial" w:eastAsia="Arial" w:hAnsi="Arial"/>
          <w:color w:val="000000"/>
          <w:lang w:val="es-ES"/>
        </w:rPr>
        <w:t xml:space="preserve"> </w:t>
      </w:r>
      <w:r w:rsidR="004E2EB7" w:rsidRPr="004E2EB7">
        <w:rPr>
          <w:rFonts w:ascii="Verdana" w:eastAsia="Verdana" w:hAnsi="Verdana"/>
          <w:color w:val="000000"/>
          <w:spacing w:val="5"/>
          <w:sz w:val="19"/>
          <w:lang w:val="es-ES"/>
        </w:rPr>
        <w:t xml:space="preserve">administrarse soluciones concentradas (0,5-0,75%) en dosis incrementales de 3 a 5 </w:t>
      </w:r>
      <w:proofErr w:type="spellStart"/>
      <w:r w:rsidR="004E2EB7" w:rsidRPr="004E2EB7">
        <w:rPr>
          <w:rFonts w:ascii="Verdana" w:eastAsia="Verdana" w:hAnsi="Verdana"/>
          <w:color w:val="000000"/>
          <w:spacing w:val="5"/>
          <w:sz w:val="19"/>
          <w:lang w:val="es-ES"/>
        </w:rPr>
        <w:t>mL</w:t>
      </w:r>
      <w:proofErr w:type="spellEnd"/>
      <w:r w:rsidR="004E2EB7" w:rsidRPr="004E2EB7">
        <w:rPr>
          <w:rFonts w:ascii="Verdana" w:eastAsia="Verdana" w:hAnsi="Verdana"/>
          <w:color w:val="000000"/>
          <w:spacing w:val="5"/>
          <w:sz w:val="19"/>
          <w:lang w:val="es-ES"/>
        </w:rPr>
        <w:t xml:space="preserve"> con tiempo suficiente entre dosis para detectar manifestaciones tóxicas de </w:t>
      </w:r>
      <w:r w:rsidR="004E2EB7" w:rsidRPr="004E2EB7">
        <w:rPr>
          <w:rFonts w:ascii="Verdana" w:eastAsia="Verdana" w:hAnsi="Verdana"/>
          <w:color w:val="000000"/>
          <w:spacing w:val="5"/>
          <w:sz w:val="19"/>
          <w:lang w:val="es-ES"/>
        </w:rPr>
        <w:lastRenderedPageBreak/>
        <w:t>inyección intravascular no intencional o intratecal. Casos de bradicardia severa, hipotensión y compromiso respiratorio con paro cardíaco (algunos fatales), se han reportado en conjunto con anestésicos locales. Una inyección intravascular inadvertida puede entonces reconocerse por un incremento temporal en la frecuencia cardiaca y la inyección accidental intratecal por signos de bloqueo espinal.</w:t>
      </w:r>
      <w:r w:rsidR="002517CC">
        <w:rPr>
          <w:rFonts w:ascii="Verdana" w:eastAsia="Verdana" w:hAnsi="Verdana"/>
          <w:color w:val="000000"/>
          <w:spacing w:val="5"/>
          <w:sz w:val="19"/>
          <w:lang w:val="es-ES"/>
        </w:rPr>
        <w:t xml:space="preserve"> </w:t>
      </w:r>
      <w:r w:rsidR="004E2EB7" w:rsidRPr="004E2EB7">
        <w:rPr>
          <w:rFonts w:ascii="Verdana" w:eastAsia="Verdana" w:hAnsi="Verdana"/>
          <w:color w:val="000000"/>
          <w:spacing w:val="5"/>
          <w:sz w:val="19"/>
          <w:lang w:val="es-ES"/>
        </w:rPr>
        <w:t>La anestesia epidural con cualquier anestésico local puede causar hipotensión y bradicardia</w:t>
      </w:r>
      <w:r w:rsidR="002517CC">
        <w:rPr>
          <w:rFonts w:ascii="Verdana" w:eastAsia="Verdana" w:hAnsi="Verdana"/>
          <w:color w:val="000000"/>
          <w:spacing w:val="5"/>
          <w:sz w:val="19"/>
          <w:lang w:val="es-ES"/>
        </w:rPr>
        <w:t>. L</w:t>
      </w:r>
      <w:r w:rsidR="004E2EB7" w:rsidRPr="004E2EB7">
        <w:rPr>
          <w:rFonts w:ascii="Verdana" w:eastAsia="Verdana" w:hAnsi="Verdana"/>
          <w:color w:val="000000"/>
          <w:spacing w:val="5"/>
          <w:sz w:val="19"/>
          <w:lang w:val="es-ES"/>
        </w:rPr>
        <w:t>a infusión perfusión de levobupivacaína por un periodo que excede las 24 horas debe considerarse cuidadosamente y sólo ser usado cuando el beneficio sobrepasa el riesgo</w:t>
      </w:r>
      <w:r w:rsidR="002517CC">
        <w:rPr>
          <w:rFonts w:ascii="Verdana" w:eastAsia="Verdana" w:hAnsi="Verdana"/>
          <w:color w:val="000000"/>
          <w:spacing w:val="5"/>
          <w:sz w:val="19"/>
          <w:lang w:val="es-ES"/>
        </w:rPr>
        <w:t xml:space="preserve"> ya que existen reportes de síndrome de cauda equina y eventos indicativos de neurotoxicidad. </w:t>
      </w:r>
      <w:r w:rsidR="002517CC" w:rsidRPr="002517CC">
        <w:rPr>
          <w:rFonts w:ascii="Verdana" w:eastAsia="Verdana" w:hAnsi="Verdana"/>
          <w:color w:val="000000"/>
          <w:spacing w:val="5"/>
          <w:sz w:val="19"/>
          <w:lang w:val="es-ES"/>
        </w:rPr>
        <w:t>Levobupivacaína debe usarse con precaución en pacientes que reciben otros anestésicos locales o agentes estructuralmente relacionados a anestésicos locales tipo amida, debido a que los efectos tóxicos de estas drogas son aditivos.</w:t>
      </w:r>
      <w:r w:rsidR="002517CC">
        <w:rPr>
          <w:rFonts w:ascii="Verdana" w:eastAsia="Verdana" w:hAnsi="Verdana"/>
          <w:color w:val="000000"/>
          <w:spacing w:val="5"/>
          <w:sz w:val="19"/>
          <w:lang w:val="es-ES"/>
        </w:rPr>
        <w:t xml:space="preserve"> </w:t>
      </w:r>
      <w:r w:rsidR="002517CC" w:rsidRPr="002517CC">
        <w:rPr>
          <w:rFonts w:ascii="Verdana" w:eastAsia="Verdana" w:hAnsi="Verdana"/>
          <w:color w:val="000000"/>
          <w:spacing w:val="5"/>
          <w:sz w:val="19"/>
          <w:lang w:val="es-ES"/>
        </w:rPr>
        <w:t>Se debe evitar la inyección rápida de grandes volúmenes de solución de anestésico local y, por tanto, se deben utilizar dosis fraccionadas (incremental) cuando sea posible.</w:t>
      </w:r>
      <w:r w:rsidR="002517CC">
        <w:rPr>
          <w:rFonts w:ascii="Verdana" w:eastAsia="Verdana" w:hAnsi="Verdana"/>
          <w:color w:val="000000"/>
          <w:spacing w:val="5"/>
          <w:sz w:val="19"/>
          <w:lang w:val="es-ES"/>
        </w:rPr>
        <w:t xml:space="preserve"> </w:t>
      </w:r>
      <w:r w:rsidR="002517CC" w:rsidRPr="002517CC">
        <w:rPr>
          <w:rFonts w:ascii="Verdana" w:eastAsia="Verdana" w:hAnsi="Verdana"/>
          <w:color w:val="000000"/>
          <w:spacing w:val="5"/>
          <w:sz w:val="19"/>
          <w:lang w:val="es-ES"/>
        </w:rPr>
        <w:t>Como levobupivacaína se metaboliza en el hígado, debe utilizarse con precaución en pacientes con enfermedad hepática o con flujo sanguíneo hepático reducido, ej. alcohólicos o cirróticos</w:t>
      </w:r>
      <w:r w:rsidR="002517CC">
        <w:rPr>
          <w:rFonts w:ascii="Verdana" w:eastAsia="Verdana" w:hAnsi="Verdana"/>
          <w:color w:val="000000"/>
          <w:spacing w:val="5"/>
          <w:sz w:val="19"/>
          <w:lang w:val="es-ES"/>
        </w:rPr>
        <w:t xml:space="preserve">. </w:t>
      </w:r>
      <w:r>
        <w:rPr>
          <w:rFonts w:ascii="Verdana" w:eastAsia="Verdana" w:hAnsi="Verdana"/>
          <w:b/>
          <w:color w:val="000000"/>
          <w:spacing w:val="4"/>
          <w:sz w:val="19"/>
          <w:lang w:val="es-ES"/>
        </w:rPr>
        <w:t xml:space="preserve">INTERACCIÓN CON OTROS MEDICAMENTOS Y OTRAS FORMAS DE INTERACCIÓN: </w:t>
      </w:r>
      <w:r w:rsidR="002517CC" w:rsidRPr="002517CC">
        <w:rPr>
          <w:rFonts w:ascii="Verdana" w:eastAsia="Verdana" w:hAnsi="Verdana"/>
          <w:color w:val="000000"/>
          <w:spacing w:val="4"/>
          <w:sz w:val="19"/>
          <w:lang w:val="es-ES"/>
        </w:rPr>
        <w:t>Estudios in vitro indican que la isoforma CYP3A4 y la isoforma CYP1A2 median en el metabolismo de levobupivacaína. Aunque no se han conducido ensayos clínicos, el metabolismo de levobupivacaína puede afectarse por los inhibidores de CYP3A4 ej. ketoconazol, e inhibidores de CYP1A2 ej. metilxantinas.</w:t>
      </w:r>
      <w:r w:rsidR="002517CC">
        <w:rPr>
          <w:rFonts w:ascii="Verdana" w:eastAsia="Verdana" w:hAnsi="Verdana"/>
          <w:color w:val="000000"/>
          <w:spacing w:val="4"/>
          <w:sz w:val="19"/>
          <w:lang w:val="es-ES"/>
        </w:rPr>
        <w:t xml:space="preserve"> </w:t>
      </w:r>
      <w:r w:rsidR="002517CC" w:rsidRPr="002517CC">
        <w:rPr>
          <w:rFonts w:ascii="Verdana" w:eastAsia="Verdana" w:hAnsi="Verdana"/>
          <w:color w:val="000000"/>
          <w:spacing w:val="4"/>
          <w:sz w:val="19"/>
          <w:lang w:val="es-ES"/>
        </w:rPr>
        <w:t xml:space="preserve">Levobupivacaína debe usarse con precaución en pacientes recibiendo agentes antiarrítmicos con actividad anestésica local, ej. </w:t>
      </w:r>
      <w:proofErr w:type="spellStart"/>
      <w:r w:rsidR="002517CC" w:rsidRPr="002517CC">
        <w:rPr>
          <w:rFonts w:ascii="Verdana" w:eastAsia="Verdana" w:hAnsi="Verdana"/>
          <w:color w:val="000000"/>
          <w:spacing w:val="4"/>
          <w:sz w:val="19"/>
          <w:lang w:val="es-ES"/>
        </w:rPr>
        <w:t>mexiletina</w:t>
      </w:r>
      <w:proofErr w:type="spellEnd"/>
      <w:r w:rsidR="002517CC" w:rsidRPr="002517CC">
        <w:rPr>
          <w:rFonts w:ascii="Verdana" w:eastAsia="Verdana" w:hAnsi="Verdana"/>
          <w:color w:val="000000"/>
          <w:spacing w:val="4"/>
          <w:sz w:val="19"/>
          <w:lang w:val="es-ES"/>
        </w:rPr>
        <w:t>, o agentes antiarrítmicos de clase III debido a que sus efectos tóxicos pueden ser aditivos.</w:t>
      </w:r>
      <w:r w:rsidR="002517CC">
        <w:rPr>
          <w:rFonts w:ascii="Verdana" w:eastAsia="Verdana" w:hAnsi="Verdana"/>
          <w:color w:val="000000"/>
          <w:spacing w:val="4"/>
          <w:sz w:val="19"/>
          <w:lang w:val="es-ES"/>
        </w:rPr>
        <w:t xml:space="preserve"> </w:t>
      </w:r>
      <w:r>
        <w:rPr>
          <w:rFonts w:ascii="Verdana" w:eastAsia="Verdana" w:hAnsi="Verdana"/>
          <w:b/>
          <w:color w:val="000000"/>
          <w:spacing w:val="4"/>
          <w:sz w:val="19"/>
          <w:lang w:val="es-ES"/>
        </w:rPr>
        <w:t xml:space="preserve">Embarazo y lactancia: </w:t>
      </w:r>
      <w:r w:rsidR="002517CC" w:rsidRPr="002517CC">
        <w:rPr>
          <w:rFonts w:ascii="Verdana" w:eastAsia="Verdana" w:hAnsi="Verdana"/>
          <w:color w:val="000000"/>
          <w:spacing w:val="4"/>
          <w:sz w:val="19"/>
          <w:lang w:val="es-ES"/>
        </w:rPr>
        <w:t xml:space="preserve">Las soluciones de levobupivacaína están contraindicadas para uso en bloqueo </w:t>
      </w:r>
      <w:proofErr w:type="spellStart"/>
      <w:r w:rsidR="002517CC" w:rsidRPr="002517CC">
        <w:rPr>
          <w:rFonts w:ascii="Verdana" w:eastAsia="Verdana" w:hAnsi="Verdana"/>
          <w:color w:val="000000"/>
          <w:spacing w:val="4"/>
          <w:sz w:val="19"/>
          <w:lang w:val="es-ES"/>
        </w:rPr>
        <w:t>paracervical</w:t>
      </w:r>
      <w:proofErr w:type="spellEnd"/>
      <w:r w:rsidR="002517CC" w:rsidRPr="002517CC">
        <w:rPr>
          <w:rFonts w:ascii="Verdana" w:eastAsia="Verdana" w:hAnsi="Verdana"/>
          <w:color w:val="000000"/>
          <w:spacing w:val="4"/>
          <w:sz w:val="19"/>
          <w:lang w:val="es-ES"/>
        </w:rPr>
        <w:t xml:space="preserve"> en obstetricia.</w:t>
      </w:r>
      <w:r w:rsidR="00B75736">
        <w:rPr>
          <w:rFonts w:ascii="Verdana" w:eastAsia="Verdana" w:hAnsi="Verdana"/>
          <w:color w:val="000000"/>
          <w:spacing w:val="4"/>
          <w:sz w:val="19"/>
          <w:lang w:val="es-ES"/>
        </w:rPr>
        <w:t xml:space="preserve"> No </w:t>
      </w:r>
      <w:r w:rsidR="002517CC" w:rsidRPr="002517CC">
        <w:rPr>
          <w:rFonts w:ascii="Verdana" w:eastAsia="Verdana" w:hAnsi="Verdana"/>
          <w:color w:val="000000"/>
          <w:spacing w:val="4"/>
          <w:sz w:val="19"/>
          <w:lang w:val="es-ES"/>
        </w:rPr>
        <w:t>debe darse levobupivacaína durante el embarazo temprano a menos que sea claramente necesario.</w:t>
      </w:r>
      <w:r w:rsidR="00B75736">
        <w:rPr>
          <w:rFonts w:ascii="Verdana" w:eastAsia="Verdana" w:hAnsi="Verdana"/>
          <w:color w:val="000000"/>
          <w:spacing w:val="4"/>
          <w:sz w:val="19"/>
          <w:lang w:val="es-ES"/>
        </w:rPr>
        <w:t xml:space="preserve"> E</w:t>
      </w:r>
      <w:r w:rsidR="00B75736" w:rsidRPr="00B75736">
        <w:rPr>
          <w:rFonts w:ascii="Verdana" w:eastAsia="Verdana" w:hAnsi="Verdana"/>
          <w:color w:val="000000"/>
          <w:spacing w:val="4"/>
          <w:sz w:val="19"/>
          <w:lang w:val="es-ES"/>
        </w:rPr>
        <w:t>s posible amamantar después de una anestesia local.</w:t>
      </w:r>
      <w:r w:rsidR="00B75736">
        <w:rPr>
          <w:rFonts w:ascii="Verdana" w:eastAsia="Verdana" w:hAnsi="Verdana"/>
          <w:color w:val="000000"/>
          <w:spacing w:val="4"/>
          <w:sz w:val="19"/>
          <w:lang w:val="es-ES"/>
        </w:rPr>
        <w:t xml:space="preserve"> </w:t>
      </w:r>
      <w:r>
        <w:rPr>
          <w:rFonts w:ascii="Verdana" w:eastAsia="Verdana" w:hAnsi="Verdana"/>
          <w:b/>
          <w:color w:val="000000"/>
          <w:spacing w:val="4"/>
          <w:sz w:val="19"/>
          <w:lang w:val="es-ES"/>
        </w:rPr>
        <w:t>EFECTOS INDESEABLES: Comunes</w:t>
      </w:r>
      <w:r w:rsidR="00B75736">
        <w:rPr>
          <w:rFonts w:ascii="Verdana" w:eastAsia="Verdana" w:hAnsi="Verdana"/>
          <w:b/>
          <w:color w:val="000000"/>
          <w:spacing w:val="4"/>
          <w:sz w:val="19"/>
          <w:lang w:val="es-ES"/>
        </w:rPr>
        <w:t xml:space="preserve">: </w:t>
      </w:r>
      <w:r w:rsidR="00B75736" w:rsidRPr="00B75736">
        <w:rPr>
          <w:rFonts w:ascii="Verdana" w:eastAsia="Verdana" w:hAnsi="Verdana"/>
          <w:color w:val="000000"/>
          <w:spacing w:val="4"/>
          <w:sz w:val="19"/>
          <w:lang w:val="es-ES"/>
        </w:rPr>
        <w:t>hipotensión, nausea, anemia, vómitos, mareos, dolor de cabeza, pirexia, dolor por procedimiento, dolor de espalda y síndrome de sufrimiento fetal en uso obstétrico.</w:t>
      </w:r>
      <w:r w:rsidR="00B75736">
        <w:rPr>
          <w:rFonts w:ascii="Verdana" w:eastAsia="Verdana" w:hAnsi="Verdana"/>
          <w:b/>
          <w:color w:val="000000"/>
          <w:spacing w:val="4"/>
          <w:sz w:val="19"/>
          <w:lang w:val="es-ES"/>
        </w:rPr>
        <w:t xml:space="preserve"> </w:t>
      </w:r>
      <w:r w:rsidR="00B75736" w:rsidRPr="00B75736">
        <w:rPr>
          <w:rFonts w:ascii="Verdana" w:eastAsia="Verdana" w:hAnsi="Verdana"/>
          <w:b/>
          <w:color w:val="000000"/>
          <w:spacing w:val="4"/>
          <w:sz w:val="19"/>
          <w:lang w:val="es-ES"/>
        </w:rPr>
        <w:t>Muy frecuente (≥1/10)</w:t>
      </w:r>
      <w:r w:rsidR="00B75736">
        <w:rPr>
          <w:rFonts w:ascii="Verdana" w:eastAsia="Verdana" w:hAnsi="Verdana"/>
          <w:b/>
          <w:color w:val="000000"/>
          <w:spacing w:val="4"/>
          <w:sz w:val="19"/>
          <w:lang w:val="es-ES"/>
        </w:rPr>
        <w:t xml:space="preserve">: </w:t>
      </w:r>
      <w:r w:rsidR="00B75736" w:rsidRPr="00B75736">
        <w:rPr>
          <w:rFonts w:ascii="Verdana" w:eastAsia="Verdana" w:hAnsi="Verdana"/>
          <w:color w:val="000000"/>
          <w:spacing w:val="4"/>
          <w:sz w:val="19"/>
          <w:lang w:val="es-ES"/>
        </w:rPr>
        <w:t>Anemia, hipotensión, náuseas</w:t>
      </w:r>
      <w:r w:rsidR="00B75736">
        <w:rPr>
          <w:rFonts w:ascii="Verdana" w:eastAsia="Verdana" w:hAnsi="Verdana"/>
          <w:color w:val="000000"/>
          <w:spacing w:val="4"/>
          <w:sz w:val="19"/>
          <w:lang w:val="es-ES"/>
        </w:rPr>
        <w:t xml:space="preserve">. </w:t>
      </w:r>
      <w:r w:rsidR="00B75736" w:rsidRPr="00B75736">
        <w:rPr>
          <w:rFonts w:ascii="Verdana" w:eastAsia="Verdana" w:hAnsi="Verdana"/>
          <w:b/>
          <w:color w:val="000000"/>
          <w:spacing w:val="4"/>
          <w:sz w:val="19"/>
          <w:lang w:val="es-ES"/>
        </w:rPr>
        <w:t>Frecuente (≥1/100 a &lt;1/10)</w:t>
      </w:r>
      <w:r w:rsidR="00B75736">
        <w:rPr>
          <w:rFonts w:ascii="Verdana" w:eastAsia="Verdana" w:hAnsi="Verdana"/>
          <w:b/>
          <w:color w:val="000000"/>
          <w:spacing w:val="4"/>
          <w:sz w:val="19"/>
          <w:lang w:val="es-ES"/>
        </w:rPr>
        <w:t xml:space="preserve">: </w:t>
      </w:r>
      <w:r w:rsidR="00B75736" w:rsidRPr="00B75736">
        <w:rPr>
          <w:rFonts w:ascii="Verdana" w:eastAsia="Verdana" w:hAnsi="Verdana"/>
          <w:color w:val="000000"/>
          <w:spacing w:val="4"/>
          <w:sz w:val="19"/>
          <w:lang w:val="es-ES"/>
        </w:rPr>
        <w:t>Pirexia, dolor de espalda, vómitos, mareo, cefalea.</w:t>
      </w:r>
      <w:r w:rsidR="00B75736">
        <w:rPr>
          <w:rFonts w:ascii="Verdana" w:eastAsia="Verdana" w:hAnsi="Verdana"/>
          <w:b/>
          <w:color w:val="000000"/>
          <w:spacing w:val="4"/>
          <w:sz w:val="19"/>
          <w:lang w:val="es-ES"/>
        </w:rPr>
        <w:t xml:space="preserve"> </w:t>
      </w:r>
      <w:r w:rsidR="00B75736" w:rsidRPr="00B75736">
        <w:rPr>
          <w:rFonts w:ascii="Verdana" w:eastAsia="Verdana" w:hAnsi="Verdana"/>
          <w:b/>
          <w:color w:val="000000"/>
          <w:spacing w:val="4"/>
          <w:sz w:val="19"/>
          <w:lang w:val="es-ES"/>
        </w:rPr>
        <w:t>Desconocido (no puede ser estimado a partir de los datos disponibles)</w:t>
      </w:r>
      <w:r w:rsidR="00B75736">
        <w:rPr>
          <w:rFonts w:ascii="Verdana" w:eastAsia="Verdana" w:hAnsi="Verdana"/>
          <w:b/>
          <w:color w:val="000000"/>
          <w:spacing w:val="4"/>
          <w:sz w:val="19"/>
          <w:lang w:val="es-ES"/>
        </w:rPr>
        <w:t xml:space="preserve">: </w:t>
      </w:r>
      <w:r w:rsidR="00B75736" w:rsidRPr="00B75736">
        <w:rPr>
          <w:rFonts w:ascii="Verdana" w:eastAsia="Verdana" w:hAnsi="Verdana"/>
          <w:color w:val="000000"/>
          <w:spacing w:val="4"/>
          <w:sz w:val="19"/>
          <w:lang w:val="es-ES"/>
        </w:rPr>
        <w:t>Convulsiones, pérdida de la conciencia, somnolencia, síncope, parestesia, paraplejia, parálisis, entre otros.</w:t>
      </w:r>
      <w:r w:rsidR="00B75736">
        <w:rPr>
          <w:rFonts w:ascii="Verdana" w:eastAsia="Verdana" w:hAnsi="Verdana"/>
          <w:b/>
          <w:color w:val="000000"/>
          <w:spacing w:val="4"/>
          <w:sz w:val="19"/>
          <w:lang w:val="es-ES"/>
        </w:rPr>
        <w:t xml:space="preserve"> </w:t>
      </w:r>
      <w:r>
        <w:rPr>
          <w:rFonts w:ascii="Verdana" w:eastAsia="Verdana" w:hAnsi="Verdana"/>
          <w:b/>
          <w:color w:val="000000"/>
          <w:spacing w:val="4"/>
          <w:sz w:val="19"/>
          <w:lang w:val="es-ES"/>
        </w:rPr>
        <w:t>SOBREDOSIS:</w:t>
      </w:r>
      <w:r w:rsidR="00B5190E">
        <w:rPr>
          <w:rFonts w:ascii="Verdana" w:eastAsia="Verdana" w:hAnsi="Verdana"/>
          <w:b/>
          <w:color w:val="000000"/>
          <w:spacing w:val="4"/>
          <w:sz w:val="19"/>
          <w:lang w:val="es-ES"/>
        </w:rPr>
        <w:t xml:space="preserve"> </w:t>
      </w:r>
      <w:r w:rsidR="00A83CB8" w:rsidRPr="00B5190E">
        <w:rPr>
          <w:rFonts w:ascii="Verdana" w:eastAsia="Verdana" w:hAnsi="Verdana"/>
          <w:color w:val="000000"/>
          <w:spacing w:val="4"/>
          <w:sz w:val="19"/>
          <w:lang w:val="es-ES"/>
        </w:rPr>
        <w:t>Las reacciones adversas sistémicas seguidas de la sobredosis accidental o la inyección intravascular accidental con agestes anestésicos locales de larga acción involucran efectos en el SNC y cardiovasculares.</w:t>
      </w:r>
      <w:r w:rsidR="00B5190E">
        <w:rPr>
          <w:rFonts w:ascii="Verdana" w:eastAsia="Verdana" w:hAnsi="Verdana"/>
          <w:color w:val="000000"/>
          <w:spacing w:val="4"/>
          <w:sz w:val="19"/>
          <w:lang w:val="es-ES"/>
        </w:rPr>
        <w:t xml:space="preserve"> Su</w:t>
      </w:r>
      <w:r w:rsidR="00A83CB8" w:rsidRPr="00B5190E">
        <w:rPr>
          <w:rFonts w:ascii="Verdana" w:eastAsia="Verdana" w:hAnsi="Verdana"/>
          <w:color w:val="000000"/>
          <w:spacing w:val="4"/>
          <w:sz w:val="19"/>
          <w:lang w:val="es-ES"/>
        </w:rPr>
        <w:t xml:space="preserve"> uso puede resultar en apnea</w:t>
      </w:r>
      <w:r w:rsidR="00B5190E" w:rsidRPr="00B5190E">
        <w:rPr>
          <w:rFonts w:ascii="Verdana" w:eastAsia="Verdana" w:hAnsi="Verdana"/>
          <w:color w:val="000000"/>
          <w:spacing w:val="4"/>
          <w:sz w:val="19"/>
          <w:lang w:val="es-ES"/>
        </w:rPr>
        <w:t xml:space="preserve"> y arritmia cardíaca.</w:t>
      </w:r>
      <w:r w:rsidR="00B5190E">
        <w:rPr>
          <w:rFonts w:ascii="Verdana" w:eastAsia="Verdana" w:hAnsi="Verdana"/>
          <w:color w:val="000000"/>
          <w:spacing w:val="4"/>
          <w:sz w:val="19"/>
          <w:lang w:val="es-ES"/>
        </w:rPr>
        <w:t xml:space="preserve"> </w:t>
      </w:r>
      <w:r>
        <w:rPr>
          <w:rFonts w:ascii="Verdana" w:eastAsia="Verdana" w:hAnsi="Verdana"/>
          <w:b/>
          <w:color w:val="000000"/>
          <w:spacing w:val="4"/>
          <w:sz w:val="19"/>
          <w:lang w:val="es-ES"/>
        </w:rPr>
        <w:t xml:space="preserve">DATOS DE SEGURIDAD PRE-CLÍNICA: </w:t>
      </w:r>
      <w:r w:rsidR="00B5190E" w:rsidRPr="00B5190E">
        <w:rPr>
          <w:rFonts w:ascii="Verdana" w:eastAsia="Verdana" w:hAnsi="Verdana"/>
          <w:color w:val="000000"/>
          <w:spacing w:val="4"/>
          <w:sz w:val="19"/>
          <w:lang w:val="es-ES"/>
        </w:rPr>
        <w:t>En un estudio de toxicidad embriofetal en ratas, una incidencia aumentada de pelvis renal dilatada, uréteres dilatados, dilatación olfatoria ventricular y costillas extratorácico-lumbares, se observaron a la exposición de niveles sistémicos en el mismo rango de aquellos obtenidos en el uso clínico. No hubo malformaciones relacionadas al tratamiento.</w:t>
      </w:r>
      <w:r w:rsidR="00B5190E">
        <w:rPr>
          <w:rFonts w:ascii="Arial" w:eastAsia="Arial" w:hAnsi="Arial"/>
          <w:color w:val="000000"/>
          <w:lang w:val="es-ES"/>
        </w:rPr>
        <w:t xml:space="preserve"> </w:t>
      </w:r>
      <w:r w:rsidR="00B5190E" w:rsidRPr="00B5190E">
        <w:rPr>
          <w:rFonts w:ascii="Verdana" w:eastAsia="Verdana" w:hAnsi="Verdana"/>
          <w:color w:val="000000"/>
          <w:spacing w:val="4"/>
          <w:sz w:val="19"/>
          <w:lang w:val="es-ES"/>
        </w:rPr>
        <w:t xml:space="preserve">Levobupivacaína no fue genotóxica en una batería de ensayos para mutagenicidad y </w:t>
      </w:r>
      <w:proofErr w:type="spellStart"/>
      <w:r w:rsidR="00B5190E" w:rsidRPr="00B5190E">
        <w:rPr>
          <w:rFonts w:ascii="Verdana" w:eastAsia="Verdana" w:hAnsi="Verdana"/>
          <w:color w:val="000000"/>
          <w:spacing w:val="4"/>
          <w:sz w:val="19"/>
          <w:lang w:val="es-ES"/>
        </w:rPr>
        <w:t>clastogenicidad</w:t>
      </w:r>
      <w:proofErr w:type="spellEnd"/>
      <w:r w:rsidR="00B5190E" w:rsidRPr="00B5190E">
        <w:rPr>
          <w:rFonts w:ascii="Verdana" w:eastAsia="Verdana" w:hAnsi="Verdana"/>
          <w:color w:val="000000"/>
          <w:spacing w:val="4"/>
          <w:sz w:val="19"/>
          <w:lang w:val="es-ES"/>
        </w:rPr>
        <w:t>. No se han conducido pruebas de carcinogenicidad.</w:t>
      </w:r>
      <w:r w:rsidR="00B5190E">
        <w:rPr>
          <w:rFonts w:ascii="Verdana" w:eastAsia="Verdana" w:hAnsi="Verdana"/>
          <w:color w:val="000000"/>
          <w:spacing w:val="4"/>
          <w:sz w:val="19"/>
          <w:lang w:val="es-ES"/>
        </w:rPr>
        <w:t xml:space="preserve"> </w:t>
      </w:r>
      <w:r>
        <w:rPr>
          <w:rFonts w:ascii="Verdana" w:eastAsia="Verdana" w:hAnsi="Verdana"/>
          <w:b/>
          <w:color w:val="000000"/>
          <w:spacing w:val="1"/>
          <w:sz w:val="19"/>
          <w:lang w:val="es-ES"/>
        </w:rPr>
        <w:t>C</w:t>
      </w:r>
      <w:r>
        <w:rPr>
          <w:rFonts w:ascii="Verdana" w:eastAsia="Verdana" w:hAnsi="Verdana"/>
          <w:b/>
          <w:color w:val="000000"/>
          <w:spacing w:val="1"/>
          <w:sz w:val="19"/>
          <w:lang w:val="es-ES"/>
        </w:rPr>
        <w:t>ARACTERÍSTICAS</w:t>
      </w:r>
      <w:r w:rsidR="00B5190E">
        <w:rPr>
          <w:rFonts w:ascii="Verdana" w:eastAsia="Verdana" w:hAnsi="Verdana"/>
          <w:b/>
          <w:color w:val="000000"/>
          <w:spacing w:val="1"/>
          <w:sz w:val="19"/>
          <w:lang w:val="es-ES"/>
        </w:rPr>
        <w:t xml:space="preserve"> </w:t>
      </w:r>
      <w:r>
        <w:rPr>
          <w:rFonts w:ascii="Verdana" w:eastAsia="Verdana" w:hAnsi="Verdana"/>
          <w:b/>
          <w:color w:val="000000"/>
          <w:spacing w:val="1"/>
          <w:sz w:val="19"/>
          <w:lang w:val="es-ES"/>
        </w:rPr>
        <w:t>FARMACÉUTICAS:</w:t>
      </w:r>
      <w:r w:rsidR="00B5190E">
        <w:rPr>
          <w:rFonts w:ascii="Verdana" w:eastAsia="Verdana" w:hAnsi="Verdana"/>
          <w:b/>
          <w:color w:val="000000"/>
          <w:spacing w:val="1"/>
          <w:sz w:val="19"/>
          <w:lang w:val="es-ES"/>
        </w:rPr>
        <w:t xml:space="preserve"> </w:t>
      </w:r>
      <w:r>
        <w:rPr>
          <w:rFonts w:ascii="Verdana" w:eastAsia="Verdana" w:hAnsi="Verdana"/>
          <w:b/>
          <w:color w:val="000000"/>
          <w:spacing w:val="1"/>
          <w:sz w:val="19"/>
          <w:lang w:val="es-ES"/>
        </w:rPr>
        <w:t xml:space="preserve">Incompatibilidades: </w:t>
      </w:r>
      <w:r w:rsidR="00B5190E" w:rsidRPr="00B5190E">
        <w:rPr>
          <w:rFonts w:ascii="Verdana" w:eastAsia="Verdana" w:hAnsi="Verdana"/>
          <w:color w:val="000000"/>
          <w:spacing w:val="4"/>
          <w:sz w:val="19"/>
          <w:lang w:val="es-ES"/>
        </w:rPr>
        <w:t>P</w:t>
      </w:r>
      <w:r w:rsidR="00B5190E" w:rsidRPr="00B5190E">
        <w:rPr>
          <w:rFonts w:ascii="Verdana" w:eastAsia="Verdana" w:hAnsi="Verdana"/>
          <w:color w:val="000000"/>
          <w:spacing w:val="4"/>
          <w:sz w:val="19"/>
          <w:lang w:val="es-ES"/>
        </w:rPr>
        <w:t>uede precipitar con soluciones alcalinas y no debe diluirse o coadministrarse con inyecciones de bicarbonato de sodio.</w:t>
      </w:r>
      <w:r w:rsidR="00B5190E" w:rsidRPr="00B5190E">
        <w:rPr>
          <w:rFonts w:ascii="Verdana" w:eastAsia="Verdana" w:hAnsi="Verdana"/>
          <w:color w:val="000000"/>
          <w:spacing w:val="4"/>
          <w:sz w:val="19"/>
          <w:lang w:val="es-ES"/>
        </w:rPr>
        <w:t xml:space="preserve"> S</w:t>
      </w:r>
      <w:r w:rsidRPr="00B5190E">
        <w:rPr>
          <w:rFonts w:ascii="Verdana" w:eastAsia="Verdana" w:hAnsi="Verdana"/>
          <w:color w:val="000000"/>
          <w:spacing w:val="4"/>
          <w:sz w:val="19"/>
          <w:lang w:val="es-ES"/>
        </w:rPr>
        <w:t>olo puede ser mezclado con otros productos medicinales con los cuales su compatibilidad ha sido documentada.</w:t>
      </w:r>
      <w:r>
        <w:rPr>
          <w:rFonts w:ascii="Verdana" w:eastAsia="Verdana" w:hAnsi="Verdana"/>
          <w:color w:val="000000"/>
          <w:spacing w:val="1"/>
          <w:sz w:val="19"/>
          <w:lang w:val="es-ES"/>
        </w:rPr>
        <w:t xml:space="preserve"> </w:t>
      </w:r>
      <w:r>
        <w:rPr>
          <w:rFonts w:ascii="Verdana" w:eastAsia="Verdana" w:hAnsi="Verdana"/>
          <w:b/>
          <w:color w:val="000000"/>
          <w:spacing w:val="1"/>
          <w:sz w:val="19"/>
          <w:lang w:val="es-ES"/>
        </w:rPr>
        <w:t>Precauciones especiales</w:t>
      </w:r>
      <w:r>
        <w:rPr>
          <w:rFonts w:ascii="Verdana" w:eastAsia="Verdana" w:hAnsi="Verdana"/>
          <w:b/>
          <w:color w:val="000000"/>
          <w:spacing w:val="1"/>
          <w:sz w:val="19"/>
          <w:lang w:val="es-ES"/>
        </w:rPr>
        <w:t xml:space="preserve">: </w:t>
      </w:r>
      <w:r w:rsidR="004D411E" w:rsidRPr="00342A04">
        <w:rPr>
          <w:rFonts w:ascii="Verdana" w:eastAsia="Verdana" w:hAnsi="Verdana"/>
          <w:color w:val="000000"/>
          <w:spacing w:val="4"/>
          <w:sz w:val="19"/>
          <w:lang w:val="es-ES"/>
        </w:rPr>
        <w:t>Sólo para uso único. Descarte cualquier solución no usada.</w:t>
      </w:r>
      <w:r w:rsidR="00342A04" w:rsidRPr="00342A04">
        <w:rPr>
          <w:rFonts w:ascii="Verdana" w:eastAsia="Verdana" w:hAnsi="Verdana"/>
          <w:color w:val="000000"/>
          <w:spacing w:val="4"/>
          <w:sz w:val="19"/>
          <w:lang w:val="es-ES"/>
        </w:rPr>
        <w:t xml:space="preserve"> </w:t>
      </w:r>
      <w:r w:rsidR="004D411E" w:rsidRPr="00342A04">
        <w:rPr>
          <w:rFonts w:ascii="Verdana" w:eastAsia="Verdana" w:hAnsi="Verdana"/>
          <w:color w:val="000000"/>
          <w:spacing w:val="4"/>
          <w:sz w:val="19"/>
          <w:lang w:val="es-ES"/>
        </w:rPr>
        <w:t>No use a menos que el contenedor esté sin daños. Sólo deben usarse soluciones claras sin partículas visibles.</w:t>
      </w:r>
      <w:r w:rsidR="00342A04">
        <w:rPr>
          <w:rFonts w:ascii="Verdana" w:eastAsia="Verdana" w:hAnsi="Verdana"/>
          <w:b/>
          <w:color w:val="000000"/>
          <w:spacing w:val="1"/>
          <w:sz w:val="19"/>
          <w:lang w:val="es-ES"/>
        </w:rPr>
        <w:t xml:space="preserve"> </w:t>
      </w:r>
      <w:proofErr w:type="gramStart"/>
      <w:r w:rsidR="004D411E" w:rsidRPr="00342A04">
        <w:rPr>
          <w:rFonts w:ascii="Verdana" w:eastAsia="Verdana" w:hAnsi="Verdana"/>
          <w:color w:val="000000"/>
          <w:spacing w:val="4"/>
          <w:sz w:val="19"/>
          <w:lang w:val="es-ES"/>
        </w:rPr>
        <w:t>Las diluciones de levobupivacaína con soluciones estándar debe</w:t>
      </w:r>
      <w:proofErr w:type="gramEnd"/>
      <w:r w:rsidR="004D411E" w:rsidRPr="00342A04">
        <w:rPr>
          <w:rFonts w:ascii="Verdana" w:eastAsia="Verdana" w:hAnsi="Verdana"/>
          <w:color w:val="000000"/>
          <w:spacing w:val="4"/>
          <w:sz w:val="19"/>
          <w:lang w:val="es-ES"/>
        </w:rPr>
        <w:t xml:space="preserve"> hacerse con cloruro de sodio 9 mg/</w:t>
      </w:r>
      <w:proofErr w:type="spellStart"/>
      <w:r w:rsidR="004D411E" w:rsidRPr="00342A04">
        <w:rPr>
          <w:rFonts w:ascii="Verdana" w:eastAsia="Verdana" w:hAnsi="Verdana"/>
          <w:color w:val="000000"/>
          <w:spacing w:val="4"/>
          <w:sz w:val="19"/>
          <w:lang w:val="es-ES"/>
        </w:rPr>
        <w:t>mL</w:t>
      </w:r>
      <w:proofErr w:type="spellEnd"/>
      <w:r w:rsidR="004D411E" w:rsidRPr="00342A04">
        <w:rPr>
          <w:rFonts w:ascii="Verdana" w:eastAsia="Verdana" w:hAnsi="Verdana"/>
          <w:color w:val="000000"/>
          <w:spacing w:val="4"/>
          <w:sz w:val="19"/>
          <w:lang w:val="es-ES"/>
        </w:rPr>
        <w:t xml:space="preserve"> (0,9%) solución para inyección usando una técnica aséptica.</w:t>
      </w:r>
      <w:r w:rsidR="00342A04">
        <w:rPr>
          <w:rFonts w:ascii="Verdana" w:eastAsia="Verdana" w:hAnsi="Verdana"/>
          <w:b/>
          <w:color w:val="000000"/>
          <w:spacing w:val="1"/>
          <w:sz w:val="19"/>
          <w:lang w:val="es-ES"/>
        </w:rPr>
        <w:t xml:space="preserve"> </w:t>
      </w:r>
      <w:r w:rsidR="004D411E" w:rsidRPr="00342A04">
        <w:rPr>
          <w:rFonts w:ascii="Verdana" w:eastAsia="Verdana" w:hAnsi="Verdana"/>
          <w:color w:val="000000"/>
          <w:spacing w:val="4"/>
          <w:sz w:val="19"/>
          <w:lang w:val="es-ES"/>
        </w:rPr>
        <w:t xml:space="preserve">Clonidina 8,4 </w:t>
      </w:r>
      <w:r w:rsidR="004D411E" w:rsidRPr="00342A04">
        <w:rPr>
          <w:rFonts w:ascii="Verdana" w:eastAsia="Verdana" w:hAnsi="Verdana"/>
          <w:color w:val="000000"/>
          <w:spacing w:val="4"/>
          <w:sz w:val="19"/>
          <w:lang w:val="es-ES"/>
        </w:rPr>
        <w:t>g/</w:t>
      </w:r>
      <w:proofErr w:type="spellStart"/>
      <w:r w:rsidR="004D411E" w:rsidRPr="00342A04">
        <w:rPr>
          <w:rFonts w:ascii="Verdana" w:eastAsia="Verdana" w:hAnsi="Verdana"/>
          <w:color w:val="000000"/>
          <w:spacing w:val="4"/>
          <w:sz w:val="19"/>
          <w:lang w:val="es-ES"/>
        </w:rPr>
        <w:t>mL</w:t>
      </w:r>
      <w:proofErr w:type="spellEnd"/>
      <w:r w:rsidR="004D411E" w:rsidRPr="00342A04">
        <w:rPr>
          <w:rFonts w:ascii="Verdana" w:eastAsia="Verdana" w:hAnsi="Verdana"/>
          <w:color w:val="000000"/>
          <w:spacing w:val="4"/>
          <w:sz w:val="19"/>
          <w:lang w:val="es-ES"/>
        </w:rPr>
        <w:t>, morfina 0,05 mg/</w:t>
      </w:r>
      <w:proofErr w:type="spellStart"/>
      <w:r w:rsidR="004D411E" w:rsidRPr="00342A04">
        <w:rPr>
          <w:rFonts w:ascii="Verdana" w:eastAsia="Verdana" w:hAnsi="Verdana"/>
          <w:color w:val="000000"/>
          <w:spacing w:val="4"/>
          <w:sz w:val="19"/>
          <w:lang w:val="es-ES"/>
        </w:rPr>
        <w:t>mL</w:t>
      </w:r>
      <w:proofErr w:type="spellEnd"/>
      <w:r w:rsidR="004D411E" w:rsidRPr="00342A04">
        <w:rPr>
          <w:rFonts w:ascii="Verdana" w:eastAsia="Verdana" w:hAnsi="Verdana"/>
          <w:color w:val="000000"/>
          <w:spacing w:val="4"/>
          <w:sz w:val="19"/>
          <w:lang w:val="es-ES"/>
        </w:rPr>
        <w:t xml:space="preserve">, fentanilo 2-4 </w:t>
      </w:r>
      <w:r w:rsidR="004D411E" w:rsidRPr="00342A04">
        <w:rPr>
          <w:rFonts w:ascii="Verdana" w:eastAsia="Verdana" w:hAnsi="Verdana"/>
          <w:color w:val="000000"/>
          <w:spacing w:val="4"/>
          <w:sz w:val="19"/>
          <w:lang w:val="es-ES"/>
        </w:rPr>
        <w:t xml:space="preserve">g/ml y </w:t>
      </w:r>
      <w:proofErr w:type="spellStart"/>
      <w:r w:rsidR="004D411E" w:rsidRPr="00342A04">
        <w:rPr>
          <w:rFonts w:ascii="Verdana" w:eastAsia="Verdana" w:hAnsi="Verdana"/>
          <w:color w:val="000000"/>
          <w:spacing w:val="4"/>
          <w:sz w:val="19"/>
          <w:lang w:val="es-ES"/>
        </w:rPr>
        <w:t>sufentanilo</w:t>
      </w:r>
      <w:proofErr w:type="spellEnd"/>
      <w:r w:rsidR="004D411E" w:rsidRPr="00342A04">
        <w:rPr>
          <w:rFonts w:ascii="Verdana" w:eastAsia="Verdana" w:hAnsi="Verdana"/>
          <w:color w:val="000000"/>
          <w:spacing w:val="4"/>
          <w:sz w:val="19"/>
          <w:lang w:val="es-ES"/>
        </w:rPr>
        <w:t xml:space="preserve"> 0,4 µg/</w:t>
      </w:r>
      <w:proofErr w:type="spellStart"/>
      <w:r w:rsidR="004D411E" w:rsidRPr="00342A04">
        <w:rPr>
          <w:rFonts w:ascii="Verdana" w:eastAsia="Verdana" w:hAnsi="Verdana"/>
          <w:color w:val="000000"/>
          <w:spacing w:val="4"/>
          <w:sz w:val="19"/>
          <w:lang w:val="es-ES"/>
        </w:rPr>
        <w:t>mL</w:t>
      </w:r>
      <w:proofErr w:type="spellEnd"/>
      <w:r w:rsidR="004D411E" w:rsidRPr="00342A04">
        <w:rPr>
          <w:rFonts w:ascii="Verdana" w:eastAsia="Verdana" w:hAnsi="Verdana"/>
          <w:color w:val="000000"/>
          <w:spacing w:val="4"/>
          <w:sz w:val="19"/>
          <w:lang w:val="es-ES"/>
        </w:rPr>
        <w:t xml:space="preserve"> han demostrado ser compatibles con levobupivacaína en cloruro de sodio 9 mg/</w:t>
      </w:r>
      <w:proofErr w:type="spellStart"/>
      <w:r w:rsidR="004D411E" w:rsidRPr="00342A04">
        <w:rPr>
          <w:rFonts w:ascii="Verdana" w:eastAsia="Verdana" w:hAnsi="Verdana"/>
          <w:color w:val="000000"/>
          <w:spacing w:val="4"/>
          <w:sz w:val="19"/>
          <w:lang w:val="es-ES"/>
        </w:rPr>
        <w:t>mL</w:t>
      </w:r>
      <w:proofErr w:type="spellEnd"/>
      <w:r w:rsidR="004D411E" w:rsidRPr="00342A04">
        <w:rPr>
          <w:rFonts w:ascii="Verdana" w:eastAsia="Verdana" w:hAnsi="Verdana"/>
          <w:color w:val="000000"/>
          <w:spacing w:val="4"/>
          <w:sz w:val="19"/>
          <w:lang w:val="es-ES"/>
        </w:rPr>
        <w:t xml:space="preserve"> (0,9%) solución para inyección.</w:t>
      </w:r>
    </w:p>
    <w:p w14:paraId="2C56B1E8" w14:textId="67F54AF4" w:rsidR="004D411E" w:rsidRPr="004D411E" w:rsidRDefault="004D411E" w:rsidP="004D411E">
      <w:pPr>
        <w:spacing w:before="259" w:line="249" w:lineRule="exact"/>
        <w:jc w:val="both"/>
        <w:textAlignment w:val="baseline"/>
        <w:rPr>
          <w:rFonts w:ascii="Verdana" w:eastAsia="Verdana" w:hAnsi="Verdana"/>
          <w:color w:val="000000"/>
          <w:spacing w:val="1"/>
          <w:sz w:val="19"/>
          <w:lang w:val="es-ES"/>
        </w:rPr>
      </w:pPr>
    </w:p>
    <w:sectPr w:rsidR="004D411E" w:rsidRPr="004D411E">
      <w:headerReference w:type="default" r:id="rId6"/>
      <w:pgSz w:w="11909" w:h="16838"/>
      <w:pgMar w:top="960" w:right="1258" w:bottom="1522" w:left="15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827B" w14:textId="77777777" w:rsidR="00A97954" w:rsidRDefault="00A97954">
      <w:r>
        <w:separator/>
      </w:r>
    </w:p>
  </w:endnote>
  <w:endnote w:type="continuationSeparator" w:id="0">
    <w:p w14:paraId="68839BE2" w14:textId="77777777" w:rsidR="00A97954" w:rsidRDefault="00A9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Segoe UI Symbol">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532A" w14:textId="77777777" w:rsidR="00A97954" w:rsidRDefault="00A97954"/>
  </w:footnote>
  <w:footnote w:type="continuationSeparator" w:id="0">
    <w:p w14:paraId="12B37FA3" w14:textId="77777777" w:rsidR="00A97954" w:rsidRDefault="00A97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 w:type="dxa"/>
      <w:tblLayout w:type="fixed"/>
      <w:tblCellMar>
        <w:left w:w="0" w:type="dxa"/>
        <w:right w:w="0" w:type="dxa"/>
      </w:tblCellMar>
      <w:tblLook w:val="0000" w:firstRow="0" w:lastRow="0" w:firstColumn="0" w:lastColumn="0" w:noHBand="0" w:noVBand="0"/>
    </w:tblPr>
    <w:tblGrid>
      <w:gridCol w:w="2966"/>
      <w:gridCol w:w="2962"/>
      <w:gridCol w:w="2976"/>
    </w:tblGrid>
    <w:tr w:rsidR="002517CC" w14:paraId="62964269" w14:textId="77777777" w:rsidTr="009256C1">
      <w:trPr>
        <w:trHeight w:hRule="exact" w:val="614"/>
      </w:trPr>
      <w:tc>
        <w:tcPr>
          <w:tcW w:w="2966" w:type="dxa"/>
          <w:tcBorders>
            <w:top w:val="single" w:sz="5" w:space="0" w:color="000000"/>
            <w:left w:val="single" w:sz="5" w:space="0" w:color="000000"/>
            <w:right w:val="single" w:sz="5" w:space="0" w:color="000000"/>
          </w:tcBorders>
        </w:tcPr>
        <w:p w14:paraId="3C06AB2B" w14:textId="77777777" w:rsidR="002517CC" w:rsidRPr="00AF1A0D" w:rsidRDefault="002517CC" w:rsidP="009256C1">
          <w:pPr>
            <w:spacing w:before="283" w:line="327" w:lineRule="exact"/>
            <w:textAlignment w:val="baseline"/>
            <w:rPr>
              <w:rFonts w:ascii="Verdana" w:eastAsia="Verdana" w:hAnsi="Verdana"/>
              <w:b/>
              <w:i/>
              <w:color w:val="000000"/>
              <w:sz w:val="24"/>
              <w:szCs w:val="20"/>
              <w:lang w:val="es-ES"/>
            </w:rPr>
          </w:pPr>
          <w:r w:rsidRPr="00AF1A0D">
            <w:rPr>
              <w:rFonts w:ascii="Verdana" w:eastAsia="Verdana" w:hAnsi="Verdana"/>
              <w:b/>
              <w:i/>
              <w:color w:val="000000"/>
              <w:sz w:val="24"/>
              <w:szCs w:val="20"/>
              <w:lang w:val="es-ES"/>
            </w:rPr>
            <w:t>Levobupivacaína</w:t>
          </w:r>
        </w:p>
        <w:p w14:paraId="66E16B5B" w14:textId="77777777" w:rsidR="002517CC" w:rsidRPr="00AF1A0D" w:rsidRDefault="002517CC" w:rsidP="009256C1">
          <w:pPr>
            <w:spacing w:before="283" w:line="327" w:lineRule="exact"/>
            <w:ind w:left="115"/>
            <w:textAlignment w:val="baseline"/>
            <w:rPr>
              <w:rFonts w:ascii="Verdana" w:eastAsia="Verdana" w:hAnsi="Verdana"/>
              <w:b/>
              <w:i/>
              <w:color w:val="000000"/>
              <w:sz w:val="24"/>
              <w:szCs w:val="20"/>
              <w:lang w:val="es-ES"/>
            </w:rPr>
          </w:pPr>
        </w:p>
      </w:tc>
      <w:tc>
        <w:tcPr>
          <w:tcW w:w="2962" w:type="dxa"/>
          <w:tcBorders>
            <w:top w:val="single" w:sz="5" w:space="0" w:color="000000"/>
            <w:left w:val="single" w:sz="5" w:space="0" w:color="000000"/>
            <w:right w:val="single" w:sz="4" w:space="0" w:color="auto"/>
          </w:tcBorders>
          <w:vAlign w:val="bottom"/>
        </w:tcPr>
        <w:p w14:paraId="70E080FC" w14:textId="77777777" w:rsidR="002517CC" w:rsidRDefault="002517CC" w:rsidP="002517CC">
          <w:pPr>
            <w:spacing w:before="289" w:after="64" w:line="257" w:lineRule="exact"/>
            <w:jc w:val="center"/>
            <w:textAlignment w:val="baseline"/>
            <w:rPr>
              <w:rFonts w:ascii="Verdana" w:eastAsia="Verdana" w:hAnsi="Verdana"/>
              <w:b/>
              <w:color w:val="000000"/>
              <w:lang w:val="es-ES"/>
            </w:rPr>
          </w:pPr>
          <w:r>
            <w:rPr>
              <w:rFonts w:ascii="Verdana" w:eastAsia="Verdana" w:hAnsi="Verdana"/>
              <w:b/>
              <w:color w:val="000000"/>
              <w:lang w:val="es-ES"/>
            </w:rPr>
            <w:t>Folleto de</w:t>
          </w:r>
        </w:p>
      </w:tc>
      <w:tc>
        <w:tcPr>
          <w:tcW w:w="2976" w:type="dxa"/>
          <w:vMerge w:val="restart"/>
          <w:tcBorders>
            <w:top w:val="single" w:sz="4" w:space="0" w:color="auto"/>
            <w:left w:val="single" w:sz="4" w:space="0" w:color="auto"/>
            <w:bottom w:val="single" w:sz="4" w:space="0" w:color="auto"/>
            <w:right w:val="single" w:sz="4" w:space="0" w:color="auto"/>
          </w:tcBorders>
        </w:tcPr>
        <w:p w14:paraId="6FC13835" w14:textId="77777777" w:rsidR="002517CC" w:rsidRDefault="002517CC" w:rsidP="002517CC">
          <w:pPr>
            <w:spacing w:before="255"/>
            <w:ind w:left="302"/>
            <w:textAlignment w:val="baseline"/>
          </w:pPr>
          <w:r>
            <w:rPr>
              <w:noProof/>
            </w:rPr>
            <w:drawing>
              <wp:inline distT="0" distB="0" distL="0" distR="0" wp14:anchorId="140A28A3" wp14:editId="64C5B8CC">
                <wp:extent cx="1341120" cy="3657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1341120" cy="365760"/>
                        </a:xfrm>
                        <a:prstGeom prst="rect">
                          <a:avLst/>
                        </a:prstGeom>
                      </pic:spPr>
                    </pic:pic>
                  </a:graphicData>
                </a:graphic>
              </wp:inline>
            </w:drawing>
          </w:r>
        </w:p>
      </w:tc>
    </w:tr>
    <w:tr w:rsidR="002517CC" w14:paraId="09F195BD" w14:textId="77777777" w:rsidTr="002517CC">
      <w:trPr>
        <w:trHeight w:hRule="exact" w:val="649"/>
      </w:trPr>
      <w:tc>
        <w:tcPr>
          <w:tcW w:w="2966" w:type="dxa"/>
          <w:tcBorders>
            <w:left w:val="single" w:sz="5" w:space="0" w:color="000000"/>
            <w:bottom w:val="single" w:sz="5" w:space="0" w:color="000000"/>
            <w:right w:val="single" w:sz="5" w:space="0" w:color="000000"/>
          </w:tcBorders>
        </w:tcPr>
        <w:p w14:paraId="397EAB68" w14:textId="77777777" w:rsidR="002517CC" w:rsidRPr="00AF1A0D" w:rsidRDefault="002517CC" w:rsidP="002517CC">
          <w:pPr>
            <w:spacing w:after="301" w:line="333" w:lineRule="exact"/>
            <w:textAlignment w:val="baseline"/>
            <w:rPr>
              <w:rFonts w:ascii="Verdana" w:eastAsia="Verdana" w:hAnsi="Verdana"/>
              <w:b/>
              <w:i/>
              <w:color w:val="000000"/>
              <w:sz w:val="24"/>
              <w:szCs w:val="20"/>
              <w:lang w:val="es-ES"/>
            </w:rPr>
          </w:pPr>
          <w:r w:rsidRPr="00AF1A0D">
            <w:rPr>
              <w:rFonts w:ascii="Verdana" w:eastAsia="Verdana" w:hAnsi="Verdana"/>
              <w:b/>
              <w:i/>
              <w:color w:val="000000"/>
              <w:sz w:val="24"/>
              <w:szCs w:val="20"/>
              <w:lang w:val="es-ES"/>
            </w:rPr>
            <w:t>Solución In</w:t>
          </w:r>
          <w:r>
            <w:rPr>
              <w:rFonts w:ascii="Verdana" w:eastAsia="Verdana" w:hAnsi="Verdana"/>
              <w:b/>
              <w:i/>
              <w:color w:val="000000"/>
              <w:sz w:val="24"/>
              <w:szCs w:val="20"/>
              <w:lang w:val="es-ES"/>
            </w:rPr>
            <w:t>y</w:t>
          </w:r>
          <w:r w:rsidRPr="00AF1A0D">
            <w:rPr>
              <w:rFonts w:ascii="Verdana" w:eastAsia="Verdana" w:hAnsi="Verdana"/>
              <w:b/>
              <w:i/>
              <w:color w:val="000000"/>
              <w:sz w:val="24"/>
              <w:szCs w:val="20"/>
              <w:lang w:val="es-ES"/>
            </w:rPr>
            <w:t xml:space="preserve">ectable 50 mg/10 </w:t>
          </w:r>
          <w:proofErr w:type="spellStart"/>
          <w:r w:rsidRPr="00AF1A0D">
            <w:rPr>
              <w:rFonts w:ascii="Verdana" w:eastAsia="Verdana" w:hAnsi="Verdana"/>
              <w:b/>
              <w:i/>
              <w:color w:val="000000"/>
              <w:sz w:val="24"/>
              <w:szCs w:val="20"/>
              <w:lang w:val="es-ES"/>
            </w:rPr>
            <w:t>mL</w:t>
          </w:r>
          <w:proofErr w:type="spellEnd"/>
        </w:p>
      </w:tc>
      <w:tc>
        <w:tcPr>
          <w:tcW w:w="2962" w:type="dxa"/>
          <w:tcBorders>
            <w:left w:val="single" w:sz="5" w:space="0" w:color="000000"/>
            <w:bottom w:val="single" w:sz="5" w:space="0" w:color="000000"/>
            <w:right w:val="single" w:sz="4" w:space="0" w:color="auto"/>
          </w:tcBorders>
        </w:tcPr>
        <w:p w14:paraId="4B8298E3" w14:textId="77777777" w:rsidR="002517CC" w:rsidRDefault="002517CC" w:rsidP="002517CC">
          <w:pPr>
            <w:spacing w:after="444" w:line="200" w:lineRule="exact"/>
            <w:jc w:val="center"/>
            <w:textAlignment w:val="baseline"/>
            <w:rPr>
              <w:rFonts w:ascii="Verdana" w:eastAsia="Verdana" w:hAnsi="Verdana"/>
              <w:b/>
              <w:color w:val="000000"/>
              <w:lang w:val="es-ES"/>
            </w:rPr>
          </w:pPr>
          <w:r>
            <w:rPr>
              <w:rFonts w:ascii="Verdana" w:eastAsia="Verdana" w:hAnsi="Verdana"/>
              <w:b/>
              <w:color w:val="000000"/>
              <w:lang w:val="es-ES"/>
            </w:rPr>
            <w:t>Información Médica</w:t>
          </w:r>
        </w:p>
      </w:tc>
      <w:tc>
        <w:tcPr>
          <w:tcW w:w="2976" w:type="dxa"/>
          <w:vMerge/>
          <w:tcBorders>
            <w:top w:val="single" w:sz="4" w:space="0" w:color="auto"/>
            <w:left w:val="single" w:sz="4" w:space="0" w:color="auto"/>
            <w:bottom w:val="single" w:sz="4" w:space="0" w:color="auto"/>
            <w:right w:val="single" w:sz="4" w:space="0" w:color="auto"/>
          </w:tcBorders>
        </w:tcPr>
        <w:p w14:paraId="6C3009B7" w14:textId="77777777" w:rsidR="002517CC" w:rsidRDefault="002517CC" w:rsidP="002517CC"/>
      </w:tc>
    </w:tr>
  </w:tbl>
  <w:p w14:paraId="2E6F2E04" w14:textId="77777777" w:rsidR="002517CC" w:rsidRDefault="002517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3A0"/>
    <w:rsid w:val="000663A0"/>
    <w:rsid w:val="00072A96"/>
    <w:rsid w:val="002517CC"/>
    <w:rsid w:val="00342A04"/>
    <w:rsid w:val="00387C5F"/>
    <w:rsid w:val="0045515D"/>
    <w:rsid w:val="00462A5A"/>
    <w:rsid w:val="004D411E"/>
    <w:rsid w:val="004E2EB7"/>
    <w:rsid w:val="009256C1"/>
    <w:rsid w:val="00A472CC"/>
    <w:rsid w:val="00A83CB8"/>
    <w:rsid w:val="00A97954"/>
    <w:rsid w:val="00AF1A0D"/>
    <w:rsid w:val="00B01D9C"/>
    <w:rsid w:val="00B5190E"/>
    <w:rsid w:val="00B757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3B4A36"/>
  <w15:docId w15:val="{9840D167-10F0-4C02-84D1-307C478E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17CC"/>
    <w:pPr>
      <w:tabs>
        <w:tab w:val="center" w:pos="4419"/>
        <w:tab w:val="right" w:pos="8838"/>
      </w:tabs>
    </w:pPr>
  </w:style>
  <w:style w:type="character" w:customStyle="1" w:styleId="EncabezadoCar">
    <w:name w:val="Encabezado Car"/>
    <w:basedOn w:val="Fuentedeprrafopredeter"/>
    <w:link w:val="Encabezado"/>
    <w:uiPriority w:val="99"/>
    <w:rsid w:val="002517CC"/>
  </w:style>
  <w:style w:type="paragraph" w:styleId="Piedepgina">
    <w:name w:val="footer"/>
    <w:basedOn w:val="Normal"/>
    <w:link w:val="PiedepginaCar"/>
    <w:uiPriority w:val="99"/>
    <w:unhideWhenUsed/>
    <w:rsid w:val="002517CC"/>
    <w:pPr>
      <w:tabs>
        <w:tab w:val="center" w:pos="4419"/>
        <w:tab w:val="right" w:pos="8838"/>
      </w:tabs>
    </w:pPr>
  </w:style>
  <w:style w:type="character" w:customStyle="1" w:styleId="PiedepginaCar">
    <w:name w:val="Pie de página Car"/>
    <w:basedOn w:val="Fuentedeprrafopredeter"/>
    <w:link w:val="Piedepgina"/>
    <w:uiPriority w:val="99"/>
    <w:rsid w:val="0025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7360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Sarmiento Soto</dc:creator>
  <cp:lastModifiedBy>Luisa Suarez</cp:lastModifiedBy>
  <cp:revision>2</cp:revision>
  <dcterms:created xsi:type="dcterms:W3CDTF">2025-11-19T13:52:00Z</dcterms:created>
  <dcterms:modified xsi:type="dcterms:W3CDTF">2025-11-19T13:52:00Z</dcterms:modified>
</cp:coreProperties>
</file>